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9045"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6A0" w:firstRow="1" w:lastRow="0" w:firstColumn="1" w:lastColumn="0" w:noHBand="1" w:noVBand="1"/>
      </w:tblPr>
      <w:tblGrid>
        <w:gridCol w:w="1260"/>
        <w:gridCol w:w="7785"/>
      </w:tblGrid>
      <w:tr w:rsidR="2B4D33E7" w14:paraId="6E80958D" w14:textId="77777777" w:rsidTr="6A91E915">
        <w:trPr>
          <w:trHeight w:val="302"/>
        </w:trPr>
        <w:tc>
          <w:tcPr>
            <w:tcW w:w="1260" w:type="dxa"/>
            <w:vAlign w:val="center"/>
          </w:tcPr>
          <w:p w14:paraId="528C5381" w14:textId="379DA935"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Documento:</w:t>
            </w:r>
          </w:p>
        </w:tc>
        <w:tc>
          <w:tcPr>
            <w:tcW w:w="7785" w:type="dxa"/>
            <w:vAlign w:val="center"/>
          </w:tcPr>
          <w:p w14:paraId="3B56ECDC" w14:textId="265DCE94" w:rsidR="2B4D33E7" w:rsidRDefault="008B61C0" w:rsidP="6A91E915">
            <w:pPr>
              <w:pStyle w:val="Ttulo1"/>
              <w:spacing w:before="0" w:after="0"/>
              <w:rPr>
                <w:rFonts w:ascii="Arial" w:eastAsia="Arial" w:hAnsi="Arial" w:cs="Arial"/>
                <w:color w:val="BFBFBF" w:themeColor="background1" w:themeShade="BF"/>
                <w:sz w:val="18"/>
                <w:szCs w:val="18"/>
                <w:lang w:val="es-CO"/>
              </w:rPr>
            </w:pPr>
            <w:r>
              <w:rPr>
                <w:rFonts w:ascii="Arial" w:eastAsia="Arial" w:hAnsi="Arial" w:cs="Arial"/>
                <w:color w:val="BFBFBF" w:themeColor="background1" w:themeShade="BF"/>
                <w:sz w:val="18"/>
                <w:szCs w:val="18"/>
                <w:lang w:val="es-CO"/>
              </w:rPr>
              <w:t>Índice de Transición Energética 2026</w:t>
            </w:r>
          </w:p>
        </w:tc>
      </w:tr>
      <w:tr w:rsidR="2B4D33E7" w14:paraId="752DC610" w14:textId="77777777" w:rsidTr="6A91E915">
        <w:trPr>
          <w:trHeight w:val="300"/>
        </w:trPr>
        <w:tc>
          <w:tcPr>
            <w:tcW w:w="1260" w:type="dxa"/>
            <w:vAlign w:val="center"/>
          </w:tcPr>
          <w:p w14:paraId="575E7CBF" w14:textId="2A340EB1"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Grupo:</w:t>
            </w:r>
          </w:p>
        </w:tc>
        <w:tc>
          <w:tcPr>
            <w:tcW w:w="7785" w:type="dxa"/>
            <w:vAlign w:val="center"/>
          </w:tcPr>
          <w:p w14:paraId="2DE4DEB9" w14:textId="7958B5CC"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Grupo de Gestión del Sector Eléctrico Colombiano</w:t>
            </w:r>
          </w:p>
        </w:tc>
      </w:tr>
      <w:tr w:rsidR="2B4D33E7" w14:paraId="03DF8AB1" w14:textId="77777777" w:rsidTr="6A91E915">
        <w:trPr>
          <w:trHeight w:val="300"/>
        </w:trPr>
        <w:tc>
          <w:tcPr>
            <w:tcW w:w="1260" w:type="dxa"/>
            <w:vAlign w:val="center"/>
          </w:tcPr>
          <w:p w14:paraId="04908FFB" w14:textId="59B3CACF"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Fecha:</w:t>
            </w:r>
          </w:p>
        </w:tc>
        <w:tc>
          <w:tcPr>
            <w:tcW w:w="7785" w:type="dxa"/>
            <w:vAlign w:val="center"/>
          </w:tcPr>
          <w:p w14:paraId="0F79C694" w14:textId="7E6616E1" w:rsidR="2B4D33E7" w:rsidRDefault="008B61C0" w:rsidP="6A91E915">
            <w:pPr>
              <w:pStyle w:val="Ttulo1"/>
              <w:spacing w:before="0" w:after="0"/>
              <w:rPr>
                <w:rFonts w:ascii="Arial" w:eastAsia="Arial" w:hAnsi="Arial" w:cs="Arial"/>
                <w:color w:val="BFBFBF" w:themeColor="background1" w:themeShade="BF"/>
                <w:sz w:val="18"/>
                <w:szCs w:val="18"/>
                <w:lang w:val="es-CO"/>
              </w:rPr>
            </w:pPr>
            <w:r>
              <w:rPr>
                <w:rFonts w:ascii="Arial" w:eastAsia="Arial" w:hAnsi="Arial" w:cs="Arial"/>
                <w:color w:val="BFBFBF" w:themeColor="background1" w:themeShade="BF"/>
                <w:sz w:val="18"/>
                <w:szCs w:val="18"/>
                <w:lang w:val="es-CO"/>
              </w:rPr>
              <w:t>19</w:t>
            </w:r>
            <w:r w:rsidR="2B4D33E7" w:rsidRPr="6A91E915">
              <w:rPr>
                <w:rFonts w:ascii="Arial" w:eastAsia="Arial" w:hAnsi="Arial" w:cs="Arial"/>
                <w:color w:val="BFBFBF" w:themeColor="background1" w:themeShade="BF"/>
                <w:sz w:val="18"/>
                <w:szCs w:val="18"/>
                <w:lang w:val="es-CO"/>
              </w:rPr>
              <w:t xml:space="preserve"> de </w:t>
            </w:r>
            <w:r>
              <w:rPr>
                <w:rFonts w:ascii="Arial" w:eastAsia="Arial" w:hAnsi="Arial" w:cs="Arial"/>
                <w:color w:val="BFBFBF" w:themeColor="background1" w:themeShade="BF"/>
                <w:sz w:val="18"/>
                <w:szCs w:val="18"/>
                <w:lang w:val="es-CO"/>
              </w:rPr>
              <w:t>junio</w:t>
            </w:r>
            <w:r w:rsidR="2B4D33E7" w:rsidRPr="6A91E915">
              <w:rPr>
                <w:rFonts w:ascii="Arial" w:eastAsia="Arial" w:hAnsi="Arial" w:cs="Arial"/>
                <w:color w:val="BFBFBF" w:themeColor="background1" w:themeShade="BF"/>
                <w:sz w:val="18"/>
                <w:szCs w:val="18"/>
                <w:lang w:val="es-CO"/>
              </w:rPr>
              <w:t xml:space="preserve"> de 20</w:t>
            </w:r>
            <w:r>
              <w:rPr>
                <w:rFonts w:ascii="Arial" w:eastAsia="Arial" w:hAnsi="Arial" w:cs="Arial"/>
                <w:color w:val="BFBFBF" w:themeColor="background1" w:themeShade="BF"/>
                <w:sz w:val="18"/>
                <w:szCs w:val="18"/>
                <w:lang w:val="es-CO"/>
              </w:rPr>
              <w:t>26</w:t>
            </w:r>
          </w:p>
        </w:tc>
      </w:tr>
    </w:tbl>
    <w:p w14:paraId="5FC533C2" w14:textId="56695D50" w:rsidR="029C20C5" w:rsidRPr="008B61C0" w:rsidRDefault="008572B1" w:rsidP="620BC7E3">
      <w:pPr>
        <w:pStyle w:val="Ttulo1"/>
        <w:jc w:val="center"/>
        <w:rPr>
          <w:rFonts w:ascii="Aptos" w:eastAsia="Arial" w:hAnsi="Aptos" w:cs="Arial"/>
          <w:b/>
          <w:bCs/>
          <w:color w:val="000000" w:themeColor="text1"/>
          <w:sz w:val="24"/>
          <w:szCs w:val="24"/>
        </w:rPr>
      </w:pPr>
      <w:r w:rsidRPr="008572B1">
        <w:rPr>
          <w:rFonts w:ascii="Aptos" w:eastAsia="Arial" w:hAnsi="Aptos" w:cs="Arial"/>
          <w:b/>
          <w:bCs/>
          <w:color w:val="000000" w:themeColor="text1"/>
          <w:sz w:val="24"/>
          <w:szCs w:val="24"/>
          <w:lang w:val="es-CO"/>
        </w:rPr>
        <w:t>EVOLUCIÓN DE COLOMBIA EN EL ENERGY TRANSITION INDEX (ETI) 2018-2026</w:t>
      </w:r>
    </w:p>
    <w:p w14:paraId="625104D8" w14:textId="77777777" w:rsidR="008572B1" w:rsidRDefault="008572B1" w:rsidP="008B61C0">
      <w:pPr>
        <w:spacing w:after="0" w:line="240" w:lineRule="auto"/>
        <w:jc w:val="both"/>
        <w:rPr>
          <w:rFonts w:ascii="Aptos" w:eastAsia="Times New Roman" w:hAnsi="Aptos" w:cs="Arial"/>
          <w:lang w:eastAsia="es-MX"/>
        </w:rPr>
      </w:pPr>
    </w:p>
    <w:p w14:paraId="3BE63C38" w14:textId="12AFDF53" w:rsidR="008572B1" w:rsidRPr="0070018A" w:rsidRDefault="008572B1" w:rsidP="0070018A">
      <w:pPr>
        <w:pStyle w:val="Ttulo2"/>
        <w:numPr>
          <w:ilvl w:val="0"/>
          <w:numId w:val="39"/>
        </w:numPr>
        <w:spacing w:before="0"/>
        <w:jc w:val="both"/>
        <w:rPr>
          <w:rFonts w:ascii="Aptos" w:hAnsi="Aptos"/>
          <w:b/>
          <w:bCs/>
          <w:color w:val="auto"/>
          <w:sz w:val="24"/>
          <w:szCs w:val="24"/>
        </w:rPr>
      </w:pPr>
      <w:r w:rsidRPr="0070018A">
        <w:rPr>
          <w:rStyle w:val="s1"/>
          <w:rFonts w:ascii="Aptos" w:hAnsi="Aptos"/>
          <w:b/>
          <w:bCs/>
          <w:color w:val="auto"/>
          <w:sz w:val="24"/>
          <w:szCs w:val="24"/>
        </w:rPr>
        <w:t xml:space="preserve">Evolución metodológica del Energy </w:t>
      </w:r>
      <w:proofErr w:type="spellStart"/>
      <w:r w:rsidRPr="0070018A">
        <w:rPr>
          <w:rStyle w:val="s1"/>
          <w:rFonts w:ascii="Aptos" w:hAnsi="Aptos"/>
          <w:b/>
          <w:bCs/>
          <w:color w:val="auto"/>
          <w:sz w:val="24"/>
          <w:szCs w:val="24"/>
        </w:rPr>
        <w:t>Transition</w:t>
      </w:r>
      <w:proofErr w:type="spellEnd"/>
      <w:r w:rsidRPr="0070018A">
        <w:rPr>
          <w:rStyle w:val="s1"/>
          <w:rFonts w:ascii="Aptos" w:hAnsi="Aptos"/>
          <w:b/>
          <w:bCs/>
          <w:color w:val="auto"/>
          <w:sz w:val="24"/>
          <w:szCs w:val="24"/>
        </w:rPr>
        <w:t xml:space="preserve"> </w:t>
      </w:r>
      <w:proofErr w:type="spellStart"/>
      <w:r w:rsidRPr="0070018A">
        <w:rPr>
          <w:rStyle w:val="s1"/>
          <w:rFonts w:ascii="Aptos" w:hAnsi="Aptos"/>
          <w:b/>
          <w:bCs/>
          <w:color w:val="auto"/>
          <w:sz w:val="24"/>
          <w:szCs w:val="24"/>
        </w:rPr>
        <w:t>Index</w:t>
      </w:r>
      <w:proofErr w:type="spellEnd"/>
      <w:r w:rsidRPr="0070018A">
        <w:rPr>
          <w:rStyle w:val="s1"/>
          <w:rFonts w:ascii="Aptos" w:hAnsi="Aptos"/>
          <w:b/>
          <w:bCs/>
          <w:color w:val="auto"/>
          <w:sz w:val="24"/>
          <w:szCs w:val="24"/>
        </w:rPr>
        <w:t xml:space="preserve"> (ETI)</w:t>
      </w:r>
    </w:p>
    <w:p w14:paraId="42E0A543" w14:textId="77777777" w:rsidR="0070018A" w:rsidRDefault="0070018A" w:rsidP="00580896">
      <w:pPr>
        <w:pStyle w:val="p2"/>
        <w:spacing w:before="0" w:beforeAutospacing="0" w:after="0" w:afterAutospacing="0"/>
        <w:jc w:val="both"/>
        <w:rPr>
          <w:rFonts w:ascii="Aptos" w:hAnsi="Aptos"/>
        </w:rPr>
      </w:pPr>
    </w:p>
    <w:p w14:paraId="4D1C2D64" w14:textId="34E116F0" w:rsidR="0070018A" w:rsidRDefault="008572B1" w:rsidP="00580896">
      <w:pPr>
        <w:pStyle w:val="p2"/>
        <w:spacing w:before="0" w:beforeAutospacing="0" w:after="0" w:afterAutospacing="0"/>
        <w:jc w:val="both"/>
        <w:rPr>
          <w:rFonts w:ascii="Aptos" w:hAnsi="Aptos"/>
        </w:rPr>
      </w:pPr>
      <w:r w:rsidRPr="00580896">
        <w:rPr>
          <w:rFonts w:ascii="Aptos" w:hAnsi="Aptos"/>
        </w:rPr>
        <w:t>Desde 201</w:t>
      </w:r>
      <w:r w:rsidR="0070018A">
        <w:rPr>
          <w:rFonts w:ascii="Aptos" w:hAnsi="Aptos"/>
        </w:rPr>
        <w:t>9</w:t>
      </w:r>
      <w:r w:rsidRPr="00580896">
        <w:rPr>
          <w:rFonts w:ascii="Aptos" w:hAnsi="Aptos"/>
        </w:rPr>
        <w:t>, el índice ha evolucionado de manera significativa, incorporando nuevos enfoques y ajustando su metodología para responder a los desafíos emergentes del sector energético mundial</w:t>
      </w:r>
      <w:r w:rsidR="0070018A">
        <w:rPr>
          <w:rFonts w:ascii="Aptos" w:hAnsi="Aptos"/>
        </w:rPr>
        <w:t>.</w:t>
      </w:r>
      <w:r w:rsidRPr="00580896">
        <w:rPr>
          <w:rFonts w:ascii="Aptos" w:hAnsi="Aptos"/>
        </w:rPr>
        <w:t xml:space="preserve"> </w:t>
      </w:r>
      <w:r w:rsidR="0070018A">
        <w:rPr>
          <w:rFonts w:ascii="Aptos" w:hAnsi="Aptos"/>
        </w:rPr>
        <w:t>L</w:t>
      </w:r>
      <w:r w:rsidRPr="00580896">
        <w:rPr>
          <w:rFonts w:ascii="Aptos" w:hAnsi="Aptos"/>
        </w:rPr>
        <w:t xml:space="preserve">a estructura general del índice se mantuvo basada en dos componentes principales: el </w:t>
      </w:r>
      <w:r w:rsidRPr="00580896">
        <w:rPr>
          <w:rStyle w:val="s1"/>
          <w:rFonts w:ascii="Aptos" w:hAnsi="Aptos"/>
          <w:b/>
          <w:bCs/>
        </w:rPr>
        <w:t>Desempeño del Sistema Energético (</w:t>
      </w:r>
      <w:proofErr w:type="spellStart"/>
      <w:r w:rsidRPr="00580896">
        <w:rPr>
          <w:rStyle w:val="s1"/>
          <w:rFonts w:ascii="Aptos" w:hAnsi="Aptos"/>
          <w:b/>
          <w:bCs/>
        </w:rPr>
        <w:t>System</w:t>
      </w:r>
      <w:proofErr w:type="spellEnd"/>
      <w:r w:rsidRPr="00580896">
        <w:rPr>
          <w:rStyle w:val="s1"/>
          <w:rFonts w:ascii="Aptos" w:hAnsi="Aptos"/>
          <w:b/>
          <w:bCs/>
        </w:rPr>
        <w:t xml:space="preserve"> Performance</w:t>
      </w:r>
      <w:r w:rsidR="0070018A">
        <w:rPr>
          <w:rStyle w:val="s1"/>
          <w:rFonts w:ascii="Aptos" w:hAnsi="Aptos"/>
          <w:b/>
          <w:bCs/>
        </w:rPr>
        <w:t xml:space="preserve"> SP</w:t>
      </w:r>
      <w:r w:rsidRPr="00580896">
        <w:rPr>
          <w:rStyle w:val="s1"/>
          <w:rFonts w:ascii="Aptos" w:hAnsi="Aptos"/>
          <w:b/>
          <w:bCs/>
        </w:rPr>
        <w:t>)</w:t>
      </w:r>
      <w:r w:rsidRPr="00580896">
        <w:rPr>
          <w:rFonts w:ascii="Aptos" w:hAnsi="Aptos"/>
        </w:rPr>
        <w:t xml:space="preserve"> y </w:t>
      </w:r>
      <w:proofErr w:type="spellStart"/>
      <w:r w:rsidRPr="00580896">
        <w:rPr>
          <w:rFonts w:ascii="Aptos" w:hAnsi="Aptos"/>
        </w:rPr>
        <w:t>la</w:t>
      </w:r>
      <w:proofErr w:type="spellEnd"/>
      <w:r w:rsidRPr="00580896">
        <w:rPr>
          <w:rFonts w:ascii="Aptos" w:hAnsi="Aptos"/>
        </w:rPr>
        <w:t xml:space="preserve"> </w:t>
      </w:r>
      <w:r w:rsidRPr="00580896">
        <w:rPr>
          <w:rStyle w:val="s1"/>
          <w:rFonts w:ascii="Aptos" w:hAnsi="Aptos"/>
          <w:b/>
          <w:bCs/>
        </w:rPr>
        <w:t>Preparación para la Transición Energética (</w:t>
      </w:r>
      <w:proofErr w:type="spellStart"/>
      <w:r w:rsidRPr="00580896">
        <w:rPr>
          <w:rStyle w:val="s1"/>
          <w:rFonts w:ascii="Aptos" w:hAnsi="Aptos"/>
          <w:b/>
          <w:bCs/>
        </w:rPr>
        <w:t>Transition</w:t>
      </w:r>
      <w:proofErr w:type="spellEnd"/>
      <w:r w:rsidRPr="00580896">
        <w:rPr>
          <w:rStyle w:val="s1"/>
          <w:rFonts w:ascii="Aptos" w:hAnsi="Aptos"/>
          <w:b/>
          <w:bCs/>
        </w:rPr>
        <w:t xml:space="preserve"> </w:t>
      </w:r>
      <w:proofErr w:type="spellStart"/>
      <w:r w:rsidRPr="00580896">
        <w:rPr>
          <w:rStyle w:val="s1"/>
          <w:rFonts w:ascii="Aptos" w:hAnsi="Aptos"/>
          <w:b/>
          <w:bCs/>
        </w:rPr>
        <w:t>Readiness</w:t>
      </w:r>
      <w:proofErr w:type="spellEnd"/>
      <w:r w:rsidR="0070018A">
        <w:rPr>
          <w:rStyle w:val="s1"/>
          <w:rFonts w:ascii="Aptos" w:hAnsi="Aptos"/>
          <w:b/>
          <w:bCs/>
        </w:rPr>
        <w:t xml:space="preserve"> TR</w:t>
      </w:r>
      <w:r w:rsidRPr="00580896">
        <w:rPr>
          <w:rStyle w:val="s1"/>
          <w:rFonts w:ascii="Aptos" w:hAnsi="Aptos"/>
          <w:b/>
          <w:bCs/>
        </w:rPr>
        <w:t>)</w:t>
      </w:r>
      <w:r w:rsidRPr="00580896">
        <w:rPr>
          <w:rFonts w:ascii="Aptos" w:hAnsi="Aptos"/>
        </w:rPr>
        <w:t xml:space="preserve">. </w:t>
      </w:r>
    </w:p>
    <w:p w14:paraId="0323C116" w14:textId="77777777" w:rsidR="0070018A" w:rsidRDefault="0070018A" w:rsidP="00580896">
      <w:pPr>
        <w:pStyle w:val="p2"/>
        <w:spacing w:before="0" w:beforeAutospacing="0" w:after="0" w:afterAutospacing="0"/>
        <w:jc w:val="both"/>
        <w:rPr>
          <w:rFonts w:ascii="Aptos" w:hAnsi="Aptos"/>
        </w:rPr>
      </w:pPr>
    </w:p>
    <w:p w14:paraId="5CB4D9E7" w14:textId="4D063B74" w:rsidR="008572B1" w:rsidRDefault="008572B1" w:rsidP="00580896">
      <w:pPr>
        <w:pStyle w:val="p2"/>
        <w:spacing w:before="0" w:beforeAutospacing="0" w:after="0" w:afterAutospacing="0"/>
        <w:jc w:val="both"/>
        <w:rPr>
          <w:rFonts w:ascii="Aptos" w:hAnsi="Aptos"/>
        </w:rPr>
      </w:pPr>
      <w:r w:rsidRPr="00580896">
        <w:rPr>
          <w:rFonts w:ascii="Aptos" w:hAnsi="Aptos"/>
        </w:rPr>
        <w:t>Sin embargo, el énfasis de la evaluación ha variado a medida que la transición energética mundial ha enfrentado nuevos desafíos asociados a la seguridad energética, la resiliencia de los sistemas, la disponibilidad de financiamiento y el desarrollo tecnológico.</w:t>
      </w:r>
    </w:p>
    <w:p w14:paraId="35F23F9F" w14:textId="77777777" w:rsidR="0070018A" w:rsidRPr="00580896" w:rsidRDefault="0070018A" w:rsidP="00580896">
      <w:pPr>
        <w:pStyle w:val="p2"/>
        <w:spacing w:before="0" w:beforeAutospacing="0" w:after="0" w:afterAutospacing="0"/>
        <w:jc w:val="both"/>
        <w:rPr>
          <w:rFonts w:ascii="Aptos" w:hAnsi="Aptos"/>
        </w:rPr>
      </w:pPr>
    </w:p>
    <w:p w14:paraId="211861BD" w14:textId="77777777" w:rsidR="008572B1" w:rsidRPr="00580896" w:rsidRDefault="008572B1" w:rsidP="00580896">
      <w:pPr>
        <w:pStyle w:val="Ttulo3"/>
        <w:spacing w:before="0"/>
        <w:jc w:val="both"/>
        <w:rPr>
          <w:rFonts w:ascii="Aptos" w:hAnsi="Aptos"/>
        </w:rPr>
      </w:pPr>
      <w:r w:rsidRPr="00580896">
        <w:rPr>
          <w:rStyle w:val="s1"/>
          <w:rFonts w:ascii="Aptos" w:hAnsi="Aptos"/>
        </w:rPr>
        <w:t>Principales cambios metodológicos observados</w:t>
      </w:r>
    </w:p>
    <w:p w14:paraId="2D7A20B3" w14:textId="77777777" w:rsidR="0070018A" w:rsidRDefault="0070018A" w:rsidP="00580896">
      <w:pPr>
        <w:pStyle w:val="p3"/>
        <w:spacing w:before="0" w:beforeAutospacing="0" w:after="0" w:afterAutospacing="0"/>
        <w:jc w:val="both"/>
        <w:rPr>
          <w:rFonts w:ascii="Aptos" w:hAnsi="Aptos"/>
          <w:b/>
          <w:bCs/>
        </w:rPr>
      </w:pPr>
    </w:p>
    <w:p w14:paraId="3F6A5BF0" w14:textId="0DB32AB5" w:rsidR="008572B1" w:rsidRPr="00580896" w:rsidRDefault="008572B1" w:rsidP="0070018A">
      <w:pPr>
        <w:pStyle w:val="p3"/>
        <w:numPr>
          <w:ilvl w:val="0"/>
          <w:numId w:val="40"/>
        </w:numPr>
        <w:spacing w:before="0" w:beforeAutospacing="0" w:after="0" w:afterAutospacing="0"/>
        <w:jc w:val="both"/>
        <w:rPr>
          <w:rFonts w:ascii="Aptos" w:hAnsi="Aptos"/>
        </w:rPr>
      </w:pPr>
      <w:r w:rsidRPr="00580896">
        <w:rPr>
          <w:rFonts w:ascii="Aptos" w:hAnsi="Aptos"/>
          <w:b/>
          <w:bCs/>
        </w:rPr>
        <w:t>2018 – 2021: Consolidación de la metodología</w:t>
      </w:r>
    </w:p>
    <w:p w14:paraId="2867E098" w14:textId="77777777" w:rsidR="0070018A" w:rsidRDefault="0070018A" w:rsidP="00580896">
      <w:pPr>
        <w:pStyle w:val="p4"/>
        <w:spacing w:before="0" w:beforeAutospacing="0" w:after="0" w:afterAutospacing="0"/>
        <w:jc w:val="both"/>
        <w:rPr>
          <w:rFonts w:ascii="Aptos" w:hAnsi="Aptos"/>
        </w:rPr>
      </w:pPr>
    </w:p>
    <w:p w14:paraId="6E55DC94" w14:textId="42614383" w:rsidR="008572B1" w:rsidRDefault="008572B1" w:rsidP="0070018A">
      <w:pPr>
        <w:pStyle w:val="p4"/>
        <w:spacing w:before="0" w:beforeAutospacing="0" w:after="0" w:afterAutospacing="0"/>
        <w:ind w:left="360"/>
        <w:jc w:val="both"/>
        <w:rPr>
          <w:rFonts w:ascii="Aptos" w:hAnsi="Aptos"/>
        </w:rPr>
      </w:pPr>
      <w:r w:rsidRPr="00580896">
        <w:rPr>
          <w:rFonts w:ascii="Aptos" w:hAnsi="Aptos"/>
        </w:rPr>
        <w:t>Durante este período el índice se enfocó en evaluar el equilibrio entre tres objetivos fundamentales de los sistemas energéticos:</w:t>
      </w:r>
    </w:p>
    <w:p w14:paraId="1B84BAF9" w14:textId="77777777" w:rsidR="0070018A" w:rsidRPr="00580896" w:rsidRDefault="0070018A" w:rsidP="0070018A">
      <w:pPr>
        <w:pStyle w:val="p4"/>
        <w:spacing w:before="0" w:beforeAutospacing="0" w:after="0" w:afterAutospacing="0"/>
        <w:ind w:left="360"/>
        <w:jc w:val="both"/>
        <w:rPr>
          <w:rFonts w:ascii="Aptos" w:hAnsi="Aptos"/>
        </w:rPr>
      </w:pPr>
    </w:p>
    <w:p w14:paraId="6EFC0429" w14:textId="77777777" w:rsidR="008572B1" w:rsidRPr="00580896" w:rsidRDefault="008572B1" w:rsidP="0070018A">
      <w:pPr>
        <w:numPr>
          <w:ilvl w:val="0"/>
          <w:numId w:val="13"/>
        </w:numPr>
        <w:tabs>
          <w:tab w:val="clear" w:pos="720"/>
          <w:tab w:val="num" w:pos="1080"/>
        </w:tabs>
        <w:spacing w:after="0" w:line="240" w:lineRule="auto"/>
        <w:ind w:left="1080"/>
        <w:jc w:val="both"/>
        <w:rPr>
          <w:rFonts w:ascii="Aptos" w:hAnsi="Aptos"/>
        </w:rPr>
      </w:pPr>
      <w:r w:rsidRPr="00580896">
        <w:rPr>
          <w:rFonts w:ascii="Aptos" w:hAnsi="Aptos"/>
        </w:rPr>
        <w:t>Seguridad energética.</w:t>
      </w:r>
    </w:p>
    <w:p w14:paraId="55389666" w14:textId="77777777" w:rsidR="008572B1" w:rsidRPr="00580896" w:rsidRDefault="008572B1" w:rsidP="0070018A">
      <w:pPr>
        <w:numPr>
          <w:ilvl w:val="0"/>
          <w:numId w:val="13"/>
        </w:numPr>
        <w:tabs>
          <w:tab w:val="clear" w:pos="720"/>
          <w:tab w:val="num" w:pos="1080"/>
        </w:tabs>
        <w:spacing w:after="0" w:line="240" w:lineRule="auto"/>
        <w:ind w:left="1080"/>
        <w:jc w:val="both"/>
        <w:rPr>
          <w:rFonts w:ascii="Aptos" w:hAnsi="Aptos"/>
        </w:rPr>
      </w:pPr>
      <w:r w:rsidRPr="00580896">
        <w:rPr>
          <w:rFonts w:ascii="Aptos" w:hAnsi="Aptos"/>
        </w:rPr>
        <w:t>Equidad y acceso a la energía.</w:t>
      </w:r>
    </w:p>
    <w:p w14:paraId="76EEAA7B" w14:textId="77777777" w:rsidR="008572B1" w:rsidRPr="00580896" w:rsidRDefault="008572B1" w:rsidP="0070018A">
      <w:pPr>
        <w:numPr>
          <w:ilvl w:val="0"/>
          <w:numId w:val="13"/>
        </w:numPr>
        <w:tabs>
          <w:tab w:val="clear" w:pos="720"/>
          <w:tab w:val="num" w:pos="1080"/>
        </w:tabs>
        <w:spacing w:after="0" w:line="240" w:lineRule="auto"/>
        <w:ind w:left="1080"/>
        <w:jc w:val="both"/>
        <w:rPr>
          <w:rFonts w:ascii="Aptos" w:hAnsi="Aptos"/>
        </w:rPr>
      </w:pPr>
      <w:r w:rsidRPr="00580896">
        <w:rPr>
          <w:rFonts w:ascii="Aptos" w:hAnsi="Aptos"/>
        </w:rPr>
        <w:t>Sostenibilidad ambiental.</w:t>
      </w:r>
    </w:p>
    <w:p w14:paraId="4B88D321" w14:textId="77777777" w:rsidR="0070018A" w:rsidRDefault="0070018A" w:rsidP="0070018A">
      <w:pPr>
        <w:pStyle w:val="p2"/>
        <w:spacing w:before="0" w:beforeAutospacing="0" w:after="0" w:afterAutospacing="0"/>
        <w:ind w:left="360"/>
        <w:jc w:val="both"/>
        <w:rPr>
          <w:rFonts w:ascii="Aptos" w:hAnsi="Aptos"/>
        </w:rPr>
      </w:pPr>
    </w:p>
    <w:p w14:paraId="3D0F324F" w14:textId="4E05B1F5" w:rsidR="008572B1" w:rsidRPr="00580896" w:rsidRDefault="008572B1" w:rsidP="0070018A">
      <w:pPr>
        <w:pStyle w:val="p2"/>
        <w:spacing w:before="0" w:beforeAutospacing="0" w:after="0" w:afterAutospacing="0"/>
        <w:ind w:left="360"/>
        <w:jc w:val="both"/>
        <w:rPr>
          <w:rFonts w:ascii="Aptos" w:hAnsi="Aptos"/>
        </w:rPr>
      </w:pPr>
      <w:r w:rsidRPr="00580896">
        <w:rPr>
          <w:rFonts w:ascii="Aptos" w:hAnsi="Aptos"/>
        </w:rPr>
        <w:t>De manera complementaria, se evaluaron los factores habilitantes para la transición, incluyendo regulación, infraestructura, gobernanza, capital humano, innovación y disponibilidad de inversión.</w:t>
      </w:r>
    </w:p>
    <w:p w14:paraId="52E60D1A" w14:textId="77777777" w:rsidR="0070018A" w:rsidRDefault="0070018A" w:rsidP="0070018A">
      <w:pPr>
        <w:pStyle w:val="p2"/>
        <w:spacing w:before="0" w:beforeAutospacing="0" w:after="0" w:afterAutospacing="0"/>
        <w:ind w:left="360"/>
        <w:jc w:val="both"/>
        <w:rPr>
          <w:rFonts w:ascii="Aptos" w:hAnsi="Aptos"/>
        </w:rPr>
      </w:pPr>
    </w:p>
    <w:p w14:paraId="0B09E3AF" w14:textId="5B186BA2" w:rsidR="008572B1" w:rsidRPr="00580896" w:rsidRDefault="008572B1" w:rsidP="0070018A">
      <w:pPr>
        <w:pStyle w:val="p2"/>
        <w:spacing w:before="0" w:beforeAutospacing="0" w:after="0" w:afterAutospacing="0"/>
        <w:ind w:left="360"/>
        <w:jc w:val="both"/>
        <w:rPr>
          <w:rFonts w:ascii="Aptos" w:hAnsi="Aptos"/>
        </w:rPr>
      </w:pPr>
      <w:r w:rsidRPr="00580896">
        <w:rPr>
          <w:rFonts w:ascii="Aptos" w:hAnsi="Aptos"/>
        </w:rPr>
        <w:t>Los reportes de este período estuvieron marcados por una creciente preocupación por el cumplimiento de los compromisos climáticos globales y la necesidad de acelerar la incorporación de tecnologías bajas en carbono.</w:t>
      </w:r>
    </w:p>
    <w:p w14:paraId="45C22894" w14:textId="77777777" w:rsidR="0070018A" w:rsidRDefault="0070018A" w:rsidP="00580896">
      <w:pPr>
        <w:pStyle w:val="p3"/>
        <w:spacing w:before="0" w:beforeAutospacing="0" w:after="0" w:afterAutospacing="0"/>
        <w:jc w:val="both"/>
        <w:rPr>
          <w:rFonts w:ascii="Aptos" w:hAnsi="Aptos"/>
          <w:b/>
          <w:bCs/>
        </w:rPr>
      </w:pPr>
    </w:p>
    <w:p w14:paraId="15706208" w14:textId="341FDF31" w:rsidR="008572B1" w:rsidRPr="00580896" w:rsidRDefault="008572B1" w:rsidP="0070018A">
      <w:pPr>
        <w:pStyle w:val="p3"/>
        <w:numPr>
          <w:ilvl w:val="0"/>
          <w:numId w:val="40"/>
        </w:numPr>
        <w:spacing w:before="0" w:beforeAutospacing="0" w:after="0" w:afterAutospacing="0"/>
        <w:jc w:val="both"/>
        <w:rPr>
          <w:rFonts w:ascii="Aptos" w:hAnsi="Aptos"/>
        </w:rPr>
      </w:pPr>
      <w:r w:rsidRPr="00580896">
        <w:rPr>
          <w:rFonts w:ascii="Aptos" w:hAnsi="Aptos"/>
          <w:b/>
          <w:bCs/>
        </w:rPr>
        <w:t>2022: Transición energética en un contexto de crisis</w:t>
      </w:r>
    </w:p>
    <w:p w14:paraId="0F7B0647" w14:textId="77777777" w:rsidR="0070018A" w:rsidRDefault="0070018A" w:rsidP="00580896">
      <w:pPr>
        <w:pStyle w:val="p2"/>
        <w:spacing w:before="0" w:beforeAutospacing="0" w:after="0" w:afterAutospacing="0"/>
        <w:jc w:val="both"/>
        <w:rPr>
          <w:rFonts w:ascii="Aptos" w:hAnsi="Aptos"/>
        </w:rPr>
      </w:pPr>
    </w:p>
    <w:p w14:paraId="6110DC40" w14:textId="281B7EF1" w:rsidR="0070018A" w:rsidRPr="0070018A" w:rsidRDefault="008572B1" w:rsidP="0070018A">
      <w:pPr>
        <w:pStyle w:val="p2"/>
        <w:spacing w:before="0" w:beforeAutospacing="0" w:after="0" w:afterAutospacing="0"/>
        <w:ind w:left="360"/>
        <w:jc w:val="both"/>
        <w:rPr>
          <w:rFonts w:ascii="Aptos" w:hAnsi="Aptos"/>
        </w:rPr>
      </w:pPr>
      <w:r w:rsidRPr="00580896">
        <w:rPr>
          <w:rFonts w:ascii="Aptos" w:hAnsi="Aptos"/>
        </w:rPr>
        <w:t xml:space="preserve">La edición 2022 representó una excepción dentro de la serie histórica. Como consecuencia de los efectos acumulados de la pandemia de COVID-19, la </w:t>
      </w:r>
      <w:r w:rsidRPr="00580896">
        <w:rPr>
          <w:rFonts w:ascii="Aptos" w:hAnsi="Aptos"/>
        </w:rPr>
        <w:lastRenderedPageBreak/>
        <w:t>recuperación económica global y la guerra entre Rusia y Ucrania, el Foro Económico Mundial decidió publicar una edición especial sin ranking de países.</w:t>
      </w:r>
    </w:p>
    <w:p w14:paraId="07DD6C23" w14:textId="7DAC9659" w:rsidR="008572B1" w:rsidRPr="00580896" w:rsidRDefault="008572B1" w:rsidP="0070018A">
      <w:pPr>
        <w:pStyle w:val="p3"/>
        <w:numPr>
          <w:ilvl w:val="0"/>
          <w:numId w:val="40"/>
        </w:numPr>
        <w:spacing w:before="0" w:beforeAutospacing="0" w:after="0" w:afterAutospacing="0"/>
        <w:jc w:val="both"/>
        <w:rPr>
          <w:rFonts w:ascii="Aptos" w:hAnsi="Aptos"/>
        </w:rPr>
      </w:pPr>
      <w:r w:rsidRPr="00580896">
        <w:rPr>
          <w:rFonts w:ascii="Aptos" w:hAnsi="Aptos"/>
          <w:b/>
          <w:bCs/>
        </w:rPr>
        <w:t>2023 – 2024: Énfasis en resiliencia y seguridad energética</w:t>
      </w:r>
    </w:p>
    <w:p w14:paraId="6552F8AC" w14:textId="77777777" w:rsidR="0070018A" w:rsidRDefault="0070018A" w:rsidP="00580896">
      <w:pPr>
        <w:pStyle w:val="p2"/>
        <w:spacing w:before="0" w:beforeAutospacing="0" w:after="0" w:afterAutospacing="0"/>
        <w:jc w:val="both"/>
        <w:rPr>
          <w:rFonts w:ascii="Aptos" w:hAnsi="Aptos"/>
        </w:rPr>
      </w:pPr>
    </w:p>
    <w:p w14:paraId="554B91C3" w14:textId="4D5A70DC" w:rsidR="008572B1" w:rsidRDefault="008572B1" w:rsidP="0070018A">
      <w:pPr>
        <w:pStyle w:val="p2"/>
        <w:spacing w:before="0" w:beforeAutospacing="0" w:after="0" w:afterAutospacing="0"/>
        <w:ind w:left="360"/>
        <w:jc w:val="both"/>
        <w:rPr>
          <w:rFonts w:ascii="Aptos" w:hAnsi="Aptos"/>
        </w:rPr>
      </w:pPr>
      <w:r w:rsidRPr="00580896">
        <w:rPr>
          <w:rFonts w:ascii="Aptos" w:hAnsi="Aptos"/>
        </w:rPr>
        <w:t>A partir de 2023 el índice incorporó ajustes metodológicos orientados a fortalecer la evaluación de la resiliencia de los sistemas energéticos frente a choques externos.</w:t>
      </w:r>
      <w:r w:rsidR="0070018A">
        <w:rPr>
          <w:rFonts w:ascii="Aptos" w:hAnsi="Aptos"/>
        </w:rPr>
        <w:t xml:space="preserve"> </w:t>
      </w:r>
      <w:r w:rsidRPr="00580896">
        <w:rPr>
          <w:rFonts w:ascii="Aptos" w:hAnsi="Aptos"/>
        </w:rPr>
        <w:t>Durante este período se observa una mayor relevancia de aspectos relacionados con:</w:t>
      </w:r>
    </w:p>
    <w:p w14:paraId="56BAFC7C" w14:textId="77777777" w:rsidR="0070018A" w:rsidRPr="00580896" w:rsidRDefault="0070018A" w:rsidP="0070018A">
      <w:pPr>
        <w:pStyle w:val="p2"/>
        <w:spacing w:before="0" w:beforeAutospacing="0" w:after="0" w:afterAutospacing="0"/>
        <w:ind w:left="360"/>
        <w:jc w:val="both"/>
        <w:rPr>
          <w:rFonts w:ascii="Aptos" w:hAnsi="Aptos"/>
        </w:rPr>
      </w:pPr>
    </w:p>
    <w:p w14:paraId="4F23D6C2" w14:textId="77777777" w:rsidR="008572B1" w:rsidRPr="00580896" w:rsidRDefault="008572B1" w:rsidP="0070018A">
      <w:pPr>
        <w:numPr>
          <w:ilvl w:val="0"/>
          <w:numId w:val="15"/>
        </w:numPr>
        <w:tabs>
          <w:tab w:val="clear" w:pos="720"/>
          <w:tab w:val="num" w:pos="1080"/>
        </w:tabs>
        <w:spacing w:after="0" w:line="240" w:lineRule="auto"/>
        <w:ind w:left="1080"/>
        <w:jc w:val="both"/>
        <w:rPr>
          <w:rFonts w:ascii="Aptos" w:hAnsi="Aptos"/>
        </w:rPr>
      </w:pPr>
      <w:r w:rsidRPr="00580896">
        <w:rPr>
          <w:rFonts w:ascii="Aptos" w:hAnsi="Aptos"/>
        </w:rPr>
        <w:t>Diversificación de las fuentes energéticas.</w:t>
      </w:r>
    </w:p>
    <w:p w14:paraId="2CF2A00D" w14:textId="77777777" w:rsidR="008572B1" w:rsidRPr="00580896" w:rsidRDefault="008572B1" w:rsidP="0070018A">
      <w:pPr>
        <w:numPr>
          <w:ilvl w:val="0"/>
          <w:numId w:val="15"/>
        </w:numPr>
        <w:tabs>
          <w:tab w:val="clear" w:pos="720"/>
          <w:tab w:val="num" w:pos="1080"/>
        </w:tabs>
        <w:spacing w:after="0" w:line="240" w:lineRule="auto"/>
        <w:ind w:left="1080"/>
        <w:jc w:val="both"/>
        <w:rPr>
          <w:rFonts w:ascii="Aptos" w:hAnsi="Aptos"/>
        </w:rPr>
      </w:pPr>
      <w:r w:rsidRPr="00580896">
        <w:rPr>
          <w:rFonts w:ascii="Aptos" w:hAnsi="Aptos"/>
        </w:rPr>
        <w:t>Resiliencia de las cadenas de suministro.</w:t>
      </w:r>
    </w:p>
    <w:p w14:paraId="72F2E8D0" w14:textId="77777777" w:rsidR="008572B1" w:rsidRPr="00580896" w:rsidRDefault="008572B1" w:rsidP="0070018A">
      <w:pPr>
        <w:numPr>
          <w:ilvl w:val="0"/>
          <w:numId w:val="15"/>
        </w:numPr>
        <w:tabs>
          <w:tab w:val="clear" w:pos="720"/>
          <w:tab w:val="num" w:pos="1080"/>
        </w:tabs>
        <w:spacing w:after="0" w:line="240" w:lineRule="auto"/>
        <w:ind w:left="1080"/>
        <w:jc w:val="both"/>
        <w:rPr>
          <w:rFonts w:ascii="Aptos" w:hAnsi="Aptos"/>
        </w:rPr>
      </w:pPr>
      <w:r w:rsidRPr="00580896">
        <w:rPr>
          <w:rFonts w:ascii="Aptos" w:hAnsi="Aptos"/>
        </w:rPr>
        <w:t>Seguridad energética.</w:t>
      </w:r>
    </w:p>
    <w:p w14:paraId="6BDA6873" w14:textId="77777777" w:rsidR="008572B1" w:rsidRPr="00580896" w:rsidRDefault="008572B1" w:rsidP="0070018A">
      <w:pPr>
        <w:numPr>
          <w:ilvl w:val="0"/>
          <w:numId w:val="15"/>
        </w:numPr>
        <w:tabs>
          <w:tab w:val="clear" w:pos="720"/>
          <w:tab w:val="num" w:pos="1080"/>
        </w:tabs>
        <w:spacing w:after="0" w:line="240" w:lineRule="auto"/>
        <w:ind w:left="1080"/>
        <w:jc w:val="both"/>
        <w:rPr>
          <w:rFonts w:ascii="Aptos" w:hAnsi="Aptos"/>
        </w:rPr>
      </w:pPr>
      <w:r w:rsidRPr="00580896">
        <w:rPr>
          <w:rFonts w:ascii="Aptos" w:hAnsi="Aptos"/>
        </w:rPr>
        <w:t>Capacidad de respuesta frente a crisis internacionales.</w:t>
      </w:r>
    </w:p>
    <w:p w14:paraId="4336FAE2" w14:textId="77777777" w:rsidR="0070018A" w:rsidRDefault="0070018A" w:rsidP="0070018A">
      <w:pPr>
        <w:pStyle w:val="p2"/>
        <w:spacing w:before="0" w:beforeAutospacing="0" w:after="0" w:afterAutospacing="0"/>
        <w:ind w:left="360"/>
        <w:jc w:val="both"/>
        <w:rPr>
          <w:rFonts w:ascii="Aptos" w:hAnsi="Aptos"/>
        </w:rPr>
      </w:pPr>
    </w:p>
    <w:p w14:paraId="34E5EB67" w14:textId="75A12C8C" w:rsidR="008572B1" w:rsidRPr="00580896" w:rsidRDefault="008572B1" w:rsidP="0070018A">
      <w:pPr>
        <w:pStyle w:val="p2"/>
        <w:spacing w:before="0" w:beforeAutospacing="0" w:after="0" w:afterAutospacing="0"/>
        <w:ind w:left="360"/>
        <w:jc w:val="both"/>
        <w:rPr>
          <w:rFonts w:ascii="Aptos" w:hAnsi="Aptos"/>
        </w:rPr>
      </w:pPr>
      <w:r w:rsidRPr="00580896">
        <w:rPr>
          <w:rFonts w:ascii="Aptos" w:hAnsi="Aptos"/>
        </w:rPr>
        <w:t xml:space="preserve">Adicionalmente, se incorporó el concepto de </w:t>
      </w:r>
      <w:proofErr w:type="spellStart"/>
      <w:r w:rsidRPr="00580896">
        <w:rPr>
          <w:rStyle w:val="s1"/>
          <w:rFonts w:ascii="Aptos" w:hAnsi="Aptos"/>
          <w:i/>
          <w:iCs/>
        </w:rPr>
        <w:t>Transition</w:t>
      </w:r>
      <w:proofErr w:type="spellEnd"/>
      <w:r w:rsidRPr="00580896">
        <w:rPr>
          <w:rStyle w:val="s1"/>
          <w:rFonts w:ascii="Aptos" w:hAnsi="Aptos"/>
          <w:i/>
          <w:iCs/>
        </w:rPr>
        <w:t xml:space="preserve"> </w:t>
      </w:r>
      <w:proofErr w:type="spellStart"/>
      <w:r w:rsidRPr="00580896">
        <w:rPr>
          <w:rStyle w:val="s1"/>
          <w:rFonts w:ascii="Aptos" w:hAnsi="Aptos"/>
          <w:i/>
          <w:iCs/>
        </w:rPr>
        <w:t>Momentum</w:t>
      </w:r>
      <w:proofErr w:type="spellEnd"/>
      <w:r w:rsidRPr="00580896">
        <w:rPr>
          <w:rFonts w:ascii="Aptos" w:hAnsi="Aptos"/>
        </w:rPr>
        <w:t>, orientado a medir la velocidad con la que los países avanzan en su proceso de transición energética.</w:t>
      </w:r>
    </w:p>
    <w:p w14:paraId="0BD81AC1" w14:textId="77777777" w:rsidR="0070018A" w:rsidRDefault="0070018A" w:rsidP="00580896">
      <w:pPr>
        <w:pStyle w:val="p3"/>
        <w:spacing w:before="0" w:beforeAutospacing="0" w:after="0" w:afterAutospacing="0"/>
        <w:jc w:val="both"/>
        <w:rPr>
          <w:rFonts w:ascii="Aptos" w:hAnsi="Aptos"/>
          <w:b/>
          <w:bCs/>
        </w:rPr>
      </w:pPr>
    </w:p>
    <w:p w14:paraId="7384B059" w14:textId="41E1BB38" w:rsidR="008572B1" w:rsidRPr="00580896" w:rsidRDefault="008572B1" w:rsidP="0070018A">
      <w:pPr>
        <w:pStyle w:val="p3"/>
        <w:numPr>
          <w:ilvl w:val="0"/>
          <w:numId w:val="40"/>
        </w:numPr>
        <w:spacing w:before="0" w:beforeAutospacing="0" w:after="0" w:afterAutospacing="0"/>
        <w:jc w:val="both"/>
        <w:rPr>
          <w:rFonts w:ascii="Aptos" w:hAnsi="Aptos"/>
        </w:rPr>
      </w:pPr>
      <w:r w:rsidRPr="00580896">
        <w:rPr>
          <w:rFonts w:ascii="Aptos" w:hAnsi="Aptos"/>
          <w:b/>
          <w:bCs/>
        </w:rPr>
        <w:t>2025 – 2026: Preparación sistémica para la transición</w:t>
      </w:r>
    </w:p>
    <w:p w14:paraId="0CD3062C" w14:textId="77777777" w:rsidR="0070018A" w:rsidRDefault="0070018A" w:rsidP="00580896">
      <w:pPr>
        <w:pStyle w:val="p2"/>
        <w:spacing w:before="0" w:beforeAutospacing="0" w:after="0" w:afterAutospacing="0"/>
        <w:jc w:val="both"/>
        <w:rPr>
          <w:rFonts w:ascii="Aptos" w:hAnsi="Aptos"/>
        </w:rPr>
      </w:pPr>
    </w:p>
    <w:p w14:paraId="52280EE3" w14:textId="5D91E114" w:rsidR="008572B1" w:rsidRDefault="008572B1" w:rsidP="0070018A">
      <w:pPr>
        <w:pStyle w:val="p2"/>
        <w:spacing w:before="0" w:beforeAutospacing="0" w:after="0" w:afterAutospacing="0"/>
        <w:ind w:left="360"/>
        <w:jc w:val="both"/>
        <w:rPr>
          <w:rFonts w:ascii="Aptos" w:hAnsi="Aptos"/>
        </w:rPr>
      </w:pPr>
      <w:r w:rsidRPr="00580896">
        <w:rPr>
          <w:rFonts w:ascii="Aptos" w:hAnsi="Aptos"/>
        </w:rPr>
        <w:t>Las ediciones más recientes evidencian una evolución del debate internacional hacia los factores que permitirán sostener la transición energética en el largo plazo.</w:t>
      </w:r>
      <w:r w:rsidR="0070018A">
        <w:rPr>
          <w:rFonts w:ascii="Aptos" w:hAnsi="Aptos"/>
        </w:rPr>
        <w:t xml:space="preserve"> </w:t>
      </w:r>
      <w:r w:rsidRPr="00580896">
        <w:rPr>
          <w:rFonts w:ascii="Aptos" w:hAnsi="Aptos"/>
        </w:rPr>
        <w:t>Los informes comienzan a otorgar mayor relevancia a aspectos como:</w:t>
      </w:r>
    </w:p>
    <w:p w14:paraId="4CCEB9D6" w14:textId="77777777" w:rsidR="0070018A" w:rsidRPr="00580896" w:rsidRDefault="0070018A" w:rsidP="0070018A">
      <w:pPr>
        <w:pStyle w:val="p2"/>
        <w:spacing w:before="0" w:beforeAutospacing="0" w:after="0" w:afterAutospacing="0"/>
        <w:ind w:left="360"/>
        <w:jc w:val="both"/>
        <w:rPr>
          <w:rFonts w:ascii="Aptos" w:hAnsi="Aptos"/>
        </w:rPr>
      </w:pPr>
    </w:p>
    <w:p w14:paraId="65CFEAC9" w14:textId="77777777" w:rsidR="008572B1" w:rsidRPr="00580896" w:rsidRDefault="008572B1" w:rsidP="0070018A">
      <w:pPr>
        <w:numPr>
          <w:ilvl w:val="0"/>
          <w:numId w:val="16"/>
        </w:numPr>
        <w:tabs>
          <w:tab w:val="clear" w:pos="720"/>
          <w:tab w:val="num" w:pos="1080"/>
        </w:tabs>
        <w:spacing w:after="0" w:line="240" w:lineRule="auto"/>
        <w:ind w:left="1080"/>
        <w:jc w:val="both"/>
        <w:rPr>
          <w:rFonts w:ascii="Aptos" w:hAnsi="Aptos"/>
        </w:rPr>
      </w:pPr>
      <w:r w:rsidRPr="00580896">
        <w:rPr>
          <w:rFonts w:ascii="Aptos" w:hAnsi="Aptos"/>
        </w:rPr>
        <w:t>Desarrollo de infraestructura energética.</w:t>
      </w:r>
    </w:p>
    <w:p w14:paraId="746F166E" w14:textId="77777777" w:rsidR="008572B1" w:rsidRPr="00580896" w:rsidRDefault="008572B1" w:rsidP="0070018A">
      <w:pPr>
        <w:numPr>
          <w:ilvl w:val="0"/>
          <w:numId w:val="16"/>
        </w:numPr>
        <w:tabs>
          <w:tab w:val="clear" w:pos="720"/>
          <w:tab w:val="num" w:pos="1080"/>
        </w:tabs>
        <w:spacing w:after="0" w:line="240" w:lineRule="auto"/>
        <w:ind w:left="1080"/>
        <w:jc w:val="both"/>
        <w:rPr>
          <w:rFonts w:ascii="Aptos" w:hAnsi="Aptos"/>
        </w:rPr>
      </w:pPr>
      <w:r w:rsidRPr="00580896">
        <w:rPr>
          <w:rFonts w:ascii="Aptos" w:hAnsi="Aptos"/>
        </w:rPr>
        <w:t>Disponibilidad de financiamiento.</w:t>
      </w:r>
    </w:p>
    <w:p w14:paraId="64BC6C00" w14:textId="77777777" w:rsidR="008572B1" w:rsidRPr="00580896" w:rsidRDefault="008572B1" w:rsidP="0070018A">
      <w:pPr>
        <w:numPr>
          <w:ilvl w:val="0"/>
          <w:numId w:val="16"/>
        </w:numPr>
        <w:tabs>
          <w:tab w:val="clear" w:pos="720"/>
          <w:tab w:val="num" w:pos="1080"/>
        </w:tabs>
        <w:spacing w:after="0" w:line="240" w:lineRule="auto"/>
        <w:ind w:left="1080"/>
        <w:jc w:val="both"/>
        <w:rPr>
          <w:rFonts w:ascii="Aptos" w:hAnsi="Aptos"/>
        </w:rPr>
      </w:pPr>
      <w:r w:rsidRPr="00580896">
        <w:rPr>
          <w:rFonts w:ascii="Aptos" w:hAnsi="Aptos"/>
        </w:rPr>
        <w:t>Innovación tecnológica.</w:t>
      </w:r>
    </w:p>
    <w:p w14:paraId="2B882760" w14:textId="77777777" w:rsidR="008572B1" w:rsidRPr="00580896" w:rsidRDefault="008572B1" w:rsidP="0070018A">
      <w:pPr>
        <w:numPr>
          <w:ilvl w:val="0"/>
          <w:numId w:val="16"/>
        </w:numPr>
        <w:tabs>
          <w:tab w:val="clear" w:pos="720"/>
          <w:tab w:val="num" w:pos="1080"/>
        </w:tabs>
        <w:spacing w:after="0" w:line="240" w:lineRule="auto"/>
        <w:ind w:left="1080"/>
        <w:jc w:val="both"/>
        <w:rPr>
          <w:rFonts w:ascii="Aptos" w:hAnsi="Aptos"/>
        </w:rPr>
      </w:pPr>
      <w:r w:rsidRPr="00580896">
        <w:rPr>
          <w:rFonts w:ascii="Aptos" w:hAnsi="Aptos"/>
        </w:rPr>
        <w:t>Minerales críticos para tecnologías limpias.</w:t>
      </w:r>
    </w:p>
    <w:p w14:paraId="215B4C84" w14:textId="77777777" w:rsidR="008572B1" w:rsidRPr="00580896" w:rsidRDefault="008572B1" w:rsidP="0070018A">
      <w:pPr>
        <w:numPr>
          <w:ilvl w:val="0"/>
          <w:numId w:val="16"/>
        </w:numPr>
        <w:tabs>
          <w:tab w:val="clear" w:pos="720"/>
          <w:tab w:val="num" w:pos="1080"/>
        </w:tabs>
        <w:spacing w:after="0" w:line="240" w:lineRule="auto"/>
        <w:ind w:left="1080"/>
        <w:jc w:val="both"/>
        <w:rPr>
          <w:rFonts w:ascii="Aptos" w:hAnsi="Aptos"/>
        </w:rPr>
      </w:pPr>
      <w:r w:rsidRPr="00580896">
        <w:rPr>
          <w:rFonts w:ascii="Aptos" w:hAnsi="Aptos"/>
        </w:rPr>
        <w:t>Digitalización de los sistemas energéticos.</w:t>
      </w:r>
    </w:p>
    <w:p w14:paraId="46933819" w14:textId="77777777" w:rsidR="008572B1" w:rsidRPr="00580896" w:rsidRDefault="008572B1" w:rsidP="0070018A">
      <w:pPr>
        <w:numPr>
          <w:ilvl w:val="0"/>
          <w:numId w:val="16"/>
        </w:numPr>
        <w:tabs>
          <w:tab w:val="clear" w:pos="720"/>
          <w:tab w:val="num" w:pos="1080"/>
        </w:tabs>
        <w:spacing w:after="0" w:line="240" w:lineRule="auto"/>
        <w:ind w:left="1080"/>
        <w:jc w:val="both"/>
        <w:rPr>
          <w:rFonts w:ascii="Aptos" w:hAnsi="Aptos"/>
        </w:rPr>
      </w:pPr>
      <w:r w:rsidRPr="00580896">
        <w:rPr>
          <w:rFonts w:ascii="Aptos" w:hAnsi="Aptos"/>
        </w:rPr>
        <w:t>Preparación para la incorporación de inteligencia artificial.</w:t>
      </w:r>
    </w:p>
    <w:p w14:paraId="18DBF040" w14:textId="77777777" w:rsidR="008572B1" w:rsidRPr="00580896" w:rsidRDefault="008572B1" w:rsidP="0070018A">
      <w:pPr>
        <w:numPr>
          <w:ilvl w:val="0"/>
          <w:numId w:val="16"/>
        </w:numPr>
        <w:tabs>
          <w:tab w:val="clear" w:pos="720"/>
          <w:tab w:val="num" w:pos="1080"/>
        </w:tabs>
        <w:spacing w:after="0" w:line="240" w:lineRule="auto"/>
        <w:ind w:left="1080"/>
        <w:jc w:val="both"/>
        <w:rPr>
          <w:rFonts w:ascii="Aptos" w:hAnsi="Aptos"/>
        </w:rPr>
      </w:pPr>
      <w:r w:rsidRPr="00580896">
        <w:rPr>
          <w:rFonts w:ascii="Aptos" w:hAnsi="Aptos"/>
        </w:rPr>
        <w:t>Fortalecimiento institucional y regulatorio.</w:t>
      </w:r>
    </w:p>
    <w:p w14:paraId="627A1DAA" w14:textId="77777777" w:rsidR="0070018A" w:rsidRDefault="0070018A" w:rsidP="0070018A">
      <w:pPr>
        <w:pStyle w:val="p5"/>
        <w:spacing w:before="0" w:beforeAutospacing="0" w:after="0" w:afterAutospacing="0"/>
        <w:jc w:val="both"/>
        <w:rPr>
          <w:rFonts w:ascii="Aptos" w:hAnsi="Aptos"/>
        </w:rPr>
      </w:pPr>
    </w:p>
    <w:p w14:paraId="489C8092" w14:textId="52ACDF2F" w:rsidR="008572B1" w:rsidRPr="00580896" w:rsidRDefault="0070018A" w:rsidP="0070018A">
      <w:pPr>
        <w:pStyle w:val="p5"/>
        <w:spacing w:before="0" w:beforeAutospacing="0" w:after="0" w:afterAutospacing="0"/>
        <w:jc w:val="both"/>
        <w:rPr>
          <w:rFonts w:ascii="Aptos" w:hAnsi="Aptos"/>
        </w:rPr>
      </w:pPr>
      <w:r>
        <w:rPr>
          <w:rFonts w:ascii="Aptos" w:hAnsi="Aptos"/>
        </w:rPr>
        <w:t>La</w:t>
      </w:r>
      <w:r w:rsidR="008572B1" w:rsidRPr="00580896">
        <w:rPr>
          <w:rFonts w:ascii="Aptos" w:hAnsi="Aptos"/>
        </w:rPr>
        <w:t xml:space="preserve"> evolución metodológica del ETI refleja una transición conceptual desde el despliegue de energías limpias hacia la capacidad de los países para consolidar transformaciones estructurales sostenibles en el largo plazo.</w:t>
      </w:r>
    </w:p>
    <w:p w14:paraId="20327DAA" w14:textId="77777777" w:rsidR="0070018A" w:rsidRDefault="0070018A" w:rsidP="00580896">
      <w:pPr>
        <w:pStyle w:val="Ttulo1"/>
        <w:spacing w:before="0" w:after="0"/>
        <w:jc w:val="both"/>
        <w:rPr>
          <w:rStyle w:val="s1"/>
          <w:rFonts w:ascii="Aptos" w:hAnsi="Aptos"/>
          <w:sz w:val="24"/>
          <w:szCs w:val="24"/>
        </w:rPr>
      </w:pPr>
    </w:p>
    <w:p w14:paraId="2B867E63" w14:textId="6CA85AB1" w:rsidR="008572B1" w:rsidRPr="0070018A" w:rsidRDefault="008572B1" w:rsidP="0070018A">
      <w:pPr>
        <w:pStyle w:val="Ttulo2"/>
        <w:numPr>
          <w:ilvl w:val="0"/>
          <w:numId w:val="39"/>
        </w:numPr>
        <w:spacing w:before="0"/>
        <w:jc w:val="both"/>
        <w:rPr>
          <w:rStyle w:val="s1"/>
          <w:b/>
          <w:bCs/>
          <w:color w:val="auto"/>
        </w:rPr>
      </w:pPr>
      <w:r w:rsidRPr="0070018A">
        <w:rPr>
          <w:rStyle w:val="s1"/>
          <w:rFonts w:ascii="Aptos" w:hAnsi="Aptos"/>
          <w:b/>
          <w:bCs/>
          <w:color w:val="auto"/>
          <w:sz w:val="24"/>
          <w:szCs w:val="24"/>
        </w:rPr>
        <w:t>Evolución general de Colombia en el ETI (2018-2026)</w:t>
      </w:r>
    </w:p>
    <w:p w14:paraId="14F55626" w14:textId="77777777" w:rsidR="0070018A" w:rsidRDefault="0070018A" w:rsidP="00580896">
      <w:pPr>
        <w:pStyle w:val="p2"/>
        <w:spacing w:before="0" w:beforeAutospacing="0" w:after="0" w:afterAutospacing="0"/>
        <w:jc w:val="both"/>
        <w:rPr>
          <w:rFonts w:ascii="Aptos" w:hAnsi="Aptos"/>
        </w:rPr>
      </w:pPr>
    </w:p>
    <w:p w14:paraId="06B6F556" w14:textId="73FDCA9E" w:rsidR="008572B1" w:rsidRPr="00580896" w:rsidRDefault="008572B1" w:rsidP="0070018A">
      <w:pPr>
        <w:pStyle w:val="p2"/>
        <w:spacing w:before="0" w:beforeAutospacing="0" w:after="0" w:afterAutospacing="0"/>
        <w:jc w:val="both"/>
        <w:rPr>
          <w:rFonts w:ascii="Aptos" w:hAnsi="Aptos"/>
        </w:rPr>
      </w:pPr>
      <w:r w:rsidRPr="00580896">
        <w:rPr>
          <w:rFonts w:ascii="Aptos" w:hAnsi="Aptos"/>
        </w:rPr>
        <w:t xml:space="preserve">La trayectoria de Colombia en el Energy </w:t>
      </w:r>
      <w:proofErr w:type="spellStart"/>
      <w:r w:rsidRPr="00580896">
        <w:rPr>
          <w:rFonts w:ascii="Aptos" w:hAnsi="Aptos"/>
        </w:rPr>
        <w:t>Transition</w:t>
      </w:r>
      <w:proofErr w:type="spellEnd"/>
      <w:r w:rsidRPr="00580896">
        <w:rPr>
          <w:rFonts w:ascii="Aptos" w:hAnsi="Aptos"/>
        </w:rPr>
        <w:t xml:space="preserve"> </w:t>
      </w:r>
      <w:proofErr w:type="spellStart"/>
      <w:r w:rsidRPr="00580896">
        <w:rPr>
          <w:rFonts w:ascii="Aptos" w:hAnsi="Aptos"/>
        </w:rPr>
        <w:t>Index</w:t>
      </w:r>
      <w:proofErr w:type="spellEnd"/>
      <w:r w:rsidRPr="00580896">
        <w:rPr>
          <w:rFonts w:ascii="Aptos" w:hAnsi="Aptos"/>
        </w:rPr>
        <w:t xml:space="preserve"> muestra un comportamiento relativamente favorable dentro del contexto latinoamericano y mundial. No obstante, el análisis histórico evidencia diferencias importantes entre el desempeño actual del sistema energético y las condiciones habilitantes necesarias para sostener la transición energética en el futuro</w:t>
      </w:r>
      <w:r w:rsidR="0070018A">
        <w:rPr>
          <w:rFonts w:ascii="Aptos" w:hAnsi="Aptos"/>
        </w:rPr>
        <w:t>, como se muestra en l</w:t>
      </w:r>
      <w:r w:rsidRPr="00580896">
        <w:rPr>
          <w:rFonts w:ascii="Aptos" w:hAnsi="Aptos"/>
        </w:rPr>
        <w:t>a siguiente tabla</w:t>
      </w:r>
      <w:r w:rsidR="0070018A">
        <w:rPr>
          <w:rFonts w:ascii="Aptos" w:hAnsi="Aptos"/>
        </w:rPr>
        <w:t>:</w:t>
      </w:r>
    </w:p>
    <w:tbl>
      <w:tblPr>
        <w:tblW w:w="0" w:type="auto"/>
        <w:tblBorders>
          <w:top w:val="single" w:sz="6" w:space="0" w:color="auto"/>
          <w:left w:val="single" w:sz="6" w:space="0" w:color="auto"/>
          <w:bottom w:val="single" w:sz="6" w:space="0" w:color="auto"/>
          <w:right w:val="single" w:sz="6" w:space="0" w:color="auto"/>
        </w:tblBorders>
        <w:tblCellMar>
          <w:top w:w="160" w:type="dxa"/>
          <w:left w:w="160" w:type="dxa"/>
          <w:bottom w:w="160" w:type="dxa"/>
          <w:right w:w="160" w:type="dxa"/>
        </w:tblCellMar>
        <w:tblLook w:val="04A0" w:firstRow="1" w:lastRow="0" w:firstColumn="1" w:lastColumn="0" w:noHBand="0" w:noVBand="1"/>
      </w:tblPr>
      <w:tblGrid>
        <w:gridCol w:w="1097"/>
        <w:gridCol w:w="1410"/>
        <w:gridCol w:w="1152"/>
        <w:gridCol w:w="1295"/>
        <w:gridCol w:w="783"/>
        <w:gridCol w:w="1247"/>
        <w:gridCol w:w="1108"/>
        <w:gridCol w:w="918"/>
      </w:tblGrid>
      <w:tr w:rsidR="008572B1" w:rsidRPr="0070018A" w14:paraId="0B37139C" w14:textId="77777777" w:rsidTr="0070018A">
        <w:trPr>
          <w:trHeight w:val="19"/>
          <w:tblHeader/>
        </w:trPr>
        <w:tc>
          <w:tcPr>
            <w:tcW w:w="1097"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0298329F" w14:textId="77777777" w:rsidR="008572B1" w:rsidRPr="0070018A" w:rsidRDefault="008572B1" w:rsidP="0070018A">
            <w:pPr>
              <w:spacing w:after="0" w:line="240" w:lineRule="auto"/>
              <w:jc w:val="center"/>
              <w:rPr>
                <w:rFonts w:ascii="Aptos" w:eastAsia="Times New Roman" w:hAnsi="Aptos" w:cs="Times New Roman"/>
                <w:b/>
                <w:bCs/>
                <w:sz w:val="20"/>
                <w:szCs w:val="20"/>
                <w:lang w:val="es-CO" w:eastAsia="es-MX"/>
              </w:rPr>
            </w:pPr>
            <w:r w:rsidRPr="0070018A">
              <w:rPr>
                <w:rFonts w:ascii="Aptos" w:eastAsia="Times New Roman" w:hAnsi="Aptos" w:cs="Times New Roman"/>
                <w:b/>
                <w:bCs/>
                <w:sz w:val="20"/>
                <w:szCs w:val="20"/>
                <w:lang w:val="es-CO" w:eastAsia="es-MX"/>
              </w:rPr>
              <w:lastRenderedPageBreak/>
              <w:t>Año</w:t>
            </w:r>
          </w:p>
        </w:tc>
        <w:tc>
          <w:tcPr>
            <w:tcW w:w="1410"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23DAA5A0" w14:textId="77777777" w:rsidR="008572B1" w:rsidRPr="0070018A" w:rsidRDefault="008572B1" w:rsidP="0070018A">
            <w:pPr>
              <w:spacing w:after="0" w:line="240" w:lineRule="auto"/>
              <w:jc w:val="center"/>
              <w:rPr>
                <w:rFonts w:ascii="Aptos" w:eastAsia="Times New Roman" w:hAnsi="Aptos" w:cs="Times New Roman"/>
                <w:b/>
                <w:bCs/>
                <w:sz w:val="20"/>
                <w:szCs w:val="20"/>
                <w:lang w:val="es-CO" w:eastAsia="es-MX"/>
              </w:rPr>
            </w:pPr>
            <w:r w:rsidRPr="0070018A">
              <w:rPr>
                <w:rFonts w:ascii="Aptos" w:eastAsia="Times New Roman" w:hAnsi="Aptos" w:cs="Times New Roman"/>
                <w:b/>
                <w:bCs/>
                <w:sz w:val="20"/>
                <w:szCs w:val="20"/>
                <w:lang w:val="es-CO" w:eastAsia="es-MX"/>
              </w:rPr>
              <w:t>Países evaluados</w:t>
            </w:r>
          </w:p>
        </w:tc>
        <w:tc>
          <w:tcPr>
            <w:tcW w:w="1152"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610B6E2" w14:textId="77777777" w:rsidR="008572B1" w:rsidRPr="0070018A" w:rsidRDefault="008572B1" w:rsidP="0070018A">
            <w:pPr>
              <w:spacing w:after="0" w:line="240" w:lineRule="auto"/>
              <w:jc w:val="center"/>
              <w:rPr>
                <w:rFonts w:ascii="Aptos" w:eastAsia="Times New Roman" w:hAnsi="Aptos" w:cs="Times New Roman"/>
                <w:b/>
                <w:bCs/>
                <w:sz w:val="20"/>
                <w:szCs w:val="20"/>
                <w:lang w:val="es-CO" w:eastAsia="es-MX"/>
              </w:rPr>
            </w:pPr>
            <w:r w:rsidRPr="0070018A">
              <w:rPr>
                <w:rFonts w:ascii="Aptos" w:eastAsia="Times New Roman" w:hAnsi="Aptos" w:cs="Times New Roman"/>
                <w:b/>
                <w:bCs/>
                <w:sz w:val="20"/>
                <w:szCs w:val="20"/>
                <w:lang w:val="es-CO" w:eastAsia="es-MX"/>
              </w:rPr>
              <w:t>Ranking</w:t>
            </w:r>
          </w:p>
        </w:tc>
        <w:tc>
          <w:tcPr>
            <w:tcW w:w="1295"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A44B8B9" w14:textId="77777777" w:rsidR="008572B1" w:rsidRPr="0070018A" w:rsidRDefault="008572B1" w:rsidP="0070018A">
            <w:pPr>
              <w:spacing w:after="0" w:line="240" w:lineRule="auto"/>
              <w:jc w:val="center"/>
              <w:rPr>
                <w:rFonts w:ascii="Aptos" w:eastAsia="Times New Roman" w:hAnsi="Aptos" w:cs="Times New Roman"/>
                <w:b/>
                <w:bCs/>
                <w:sz w:val="20"/>
                <w:szCs w:val="20"/>
                <w:lang w:val="es-CO" w:eastAsia="es-MX"/>
              </w:rPr>
            </w:pPr>
            <w:r w:rsidRPr="0070018A">
              <w:rPr>
                <w:rFonts w:ascii="Aptos" w:eastAsia="Times New Roman" w:hAnsi="Aptos" w:cs="Times New Roman"/>
                <w:b/>
                <w:bCs/>
                <w:sz w:val="20"/>
                <w:szCs w:val="20"/>
                <w:lang w:val="es-CO" w:eastAsia="es-MX"/>
              </w:rPr>
              <w:t>Variación Ranking</w:t>
            </w:r>
          </w:p>
        </w:tc>
        <w:tc>
          <w:tcPr>
            <w:tcW w:w="783"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96F42A9" w14:textId="77777777" w:rsidR="008572B1" w:rsidRPr="0070018A" w:rsidRDefault="008572B1" w:rsidP="0070018A">
            <w:pPr>
              <w:spacing w:after="0" w:line="240" w:lineRule="auto"/>
              <w:jc w:val="center"/>
              <w:rPr>
                <w:rFonts w:ascii="Aptos" w:eastAsia="Times New Roman" w:hAnsi="Aptos" w:cs="Times New Roman"/>
                <w:b/>
                <w:bCs/>
                <w:sz w:val="20"/>
                <w:szCs w:val="20"/>
                <w:lang w:val="es-CO" w:eastAsia="es-MX"/>
              </w:rPr>
            </w:pPr>
            <w:r w:rsidRPr="0070018A">
              <w:rPr>
                <w:rFonts w:ascii="Aptos" w:eastAsia="Times New Roman" w:hAnsi="Aptos" w:cs="Times New Roman"/>
                <w:b/>
                <w:bCs/>
                <w:sz w:val="20"/>
                <w:szCs w:val="20"/>
                <w:lang w:val="es-CO" w:eastAsia="es-MX"/>
              </w:rPr>
              <w:t>ETI</w:t>
            </w:r>
          </w:p>
        </w:tc>
        <w:tc>
          <w:tcPr>
            <w:tcW w:w="1247"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C5D22BE" w14:textId="77777777" w:rsidR="008572B1" w:rsidRPr="0070018A" w:rsidRDefault="008572B1" w:rsidP="0070018A">
            <w:pPr>
              <w:spacing w:after="0" w:line="240" w:lineRule="auto"/>
              <w:jc w:val="center"/>
              <w:rPr>
                <w:rFonts w:ascii="Aptos" w:eastAsia="Times New Roman" w:hAnsi="Aptos" w:cs="Times New Roman"/>
                <w:b/>
                <w:bCs/>
                <w:sz w:val="20"/>
                <w:szCs w:val="20"/>
                <w:lang w:val="es-CO" w:eastAsia="es-MX"/>
              </w:rPr>
            </w:pPr>
            <w:r w:rsidRPr="0070018A">
              <w:rPr>
                <w:rFonts w:ascii="Aptos" w:eastAsia="Times New Roman" w:hAnsi="Aptos" w:cs="Times New Roman"/>
                <w:b/>
                <w:bCs/>
                <w:sz w:val="20"/>
                <w:szCs w:val="20"/>
                <w:lang w:val="es-CO" w:eastAsia="es-MX"/>
              </w:rPr>
              <w:t>Variación ETI</w:t>
            </w:r>
          </w:p>
        </w:tc>
        <w:tc>
          <w:tcPr>
            <w:tcW w:w="1108"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3C0A823B" w14:textId="77777777" w:rsidR="008572B1" w:rsidRPr="0070018A" w:rsidRDefault="008572B1" w:rsidP="0070018A">
            <w:pPr>
              <w:spacing w:after="0" w:line="240" w:lineRule="auto"/>
              <w:jc w:val="center"/>
              <w:rPr>
                <w:rFonts w:ascii="Aptos" w:eastAsia="Times New Roman" w:hAnsi="Aptos" w:cs="Times New Roman"/>
                <w:b/>
                <w:bCs/>
                <w:sz w:val="20"/>
                <w:szCs w:val="20"/>
                <w:lang w:val="es-CO" w:eastAsia="es-MX"/>
              </w:rPr>
            </w:pPr>
            <w:r w:rsidRPr="0070018A">
              <w:rPr>
                <w:rFonts w:ascii="Aptos" w:eastAsia="Times New Roman" w:hAnsi="Aptos" w:cs="Times New Roman"/>
                <w:b/>
                <w:bCs/>
                <w:sz w:val="20"/>
                <w:szCs w:val="20"/>
                <w:lang w:val="es-CO" w:eastAsia="es-MX"/>
              </w:rPr>
              <w:t>SP</w:t>
            </w:r>
          </w:p>
        </w:tc>
        <w:tc>
          <w:tcPr>
            <w:tcW w:w="918"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7A32D58A" w14:textId="77777777" w:rsidR="008572B1" w:rsidRPr="0070018A" w:rsidRDefault="008572B1" w:rsidP="0070018A">
            <w:pPr>
              <w:spacing w:after="0" w:line="240" w:lineRule="auto"/>
              <w:jc w:val="center"/>
              <w:rPr>
                <w:rFonts w:ascii="Aptos" w:eastAsia="Times New Roman" w:hAnsi="Aptos" w:cs="Times New Roman"/>
                <w:b/>
                <w:bCs/>
                <w:sz w:val="20"/>
                <w:szCs w:val="20"/>
                <w:lang w:val="es-CO" w:eastAsia="es-MX"/>
              </w:rPr>
            </w:pPr>
            <w:r w:rsidRPr="0070018A">
              <w:rPr>
                <w:rFonts w:ascii="Aptos" w:eastAsia="Times New Roman" w:hAnsi="Aptos" w:cs="Times New Roman"/>
                <w:b/>
                <w:bCs/>
                <w:sz w:val="20"/>
                <w:szCs w:val="20"/>
                <w:lang w:val="es-CO" w:eastAsia="es-MX"/>
              </w:rPr>
              <w:t>TR</w:t>
            </w:r>
          </w:p>
        </w:tc>
      </w:tr>
      <w:tr w:rsidR="008572B1" w:rsidRPr="0070018A" w14:paraId="7345830A" w14:textId="77777777" w:rsidTr="0070018A">
        <w:trPr>
          <w:trHeight w:val="20"/>
        </w:trPr>
        <w:tc>
          <w:tcPr>
            <w:tcW w:w="1097"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AF8008B"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2019</w:t>
            </w:r>
          </w:p>
        </w:tc>
        <w:tc>
          <w:tcPr>
            <w:tcW w:w="1410"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7739A929"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115</w:t>
            </w:r>
          </w:p>
        </w:tc>
        <w:tc>
          <w:tcPr>
            <w:tcW w:w="1152"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7A1B93D6"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34</w:t>
            </w:r>
          </w:p>
        </w:tc>
        <w:tc>
          <w:tcPr>
            <w:tcW w:w="1295"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0F036205"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w:t>
            </w:r>
          </w:p>
        </w:tc>
        <w:tc>
          <w:tcPr>
            <w:tcW w:w="783"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0FD4153D"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61,0</w:t>
            </w:r>
          </w:p>
        </w:tc>
        <w:tc>
          <w:tcPr>
            <w:tcW w:w="1247"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63F7A35"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w:t>
            </w:r>
          </w:p>
        </w:tc>
        <w:tc>
          <w:tcPr>
            <w:tcW w:w="1108"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C40342B"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71,0</w:t>
            </w:r>
          </w:p>
        </w:tc>
        <w:tc>
          <w:tcPr>
            <w:tcW w:w="918"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261E4B8F"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51,0</w:t>
            </w:r>
          </w:p>
        </w:tc>
      </w:tr>
      <w:tr w:rsidR="008572B1" w:rsidRPr="0070018A" w14:paraId="1A59258A" w14:textId="77777777" w:rsidTr="0070018A">
        <w:trPr>
          <w:trHeight w:val="20"/>
        </w:trPr>
        <w:tc>
          <w:tcPr>
            <w:tcW w:w="1097"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4CC10B85"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2020</w:t>
            </w:r>
          </w:p>
        </w:tc>
        <w:tc>
          <w:tcPr>
            <w:tcW w:w="1410"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24E3D4F2"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115</w:t>
            </w:r>
          </w:p>
        </w:tc>
        <w:tc>
          <w:tcPr>
            <w:tcW w:w="1152"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36D0368"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25</w:t>
            </w:r>
          </w:p>
        </w:tc>
        <w:tc>
          <w:tcPr>
            <w:tcW w:w="1295"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8288F2A"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+9</w:t>
            </w:r>
          </w:p>
        </w:tc>
        <w:tc>
          <w:tcPr>
            <w:tcW w:w="783"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670904B0"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62,7</w:t>
            </w:r>
          </w:p>
        </w:tc>
        <w:tc>
          <w:tcPr>
            <w:tcW w:w="1247"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6005CA3F"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+1,7</w:t>
            </w:r>
          </w:p>
        </w:tc>
        <w:tc>
          <w:tcPr>
            <w:tcW w:w="1108"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92CCBD2"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72,0</w:t>
            </w:r>
          </w:p>
        </w:tc>
        <w:tc>
          <w:tcPr>
            <w:tcW w:w="918"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26941793"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54,0</w:t>
            </w:r>
          </w:p>
        </w:tc>
      </w:tr>
      <w:tr w:rsidR="008572B1" w:rsidRPr="0070018A" w14:paraId="29788AE7" w14:textId="77777777" w:rsidTr="0070018A">
        <w:trPr>
          <w:trHeight w:val="20"/>
        </w:trPr>
        <w:tc>
          <w:tcPr>
            <w:tcW w:w="1097"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6901EF61" w14:textId="2B25997C"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2021</w:t>
            </w:r>
          </w:p>
        </w:tc>
        <w:tc>
          <w:tcPr>
            <w:tcW w:w="1410"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0A494AB0"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115</w:t>
            </w:r>
          </w:p>
        </w:tc>
        <w:tc>
          <w:tcPr>
            <w:tcW w:w="1152"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38C2EB60"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29</w:t>
            </w:r>
          </w:p>
        </w:tc>
        <w:tc>
          <w:tcPr>
            <w:tcW w:w="1295"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28CC8683"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-4</w:t>
            </w:r>
          </w:p>
        </w:tc>
        <w:tc>
          <w:tcPr>
            <w:tcW w:w="783"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495111C0" w14:textId="5019B233"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66</w:t>
            </w:r>
          </w:p>
        </w:tc>
        <w:tc>
          <w:tcPr>
            <w:tcW w:w="1247"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4622DB80"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-4,5</w:t>
            </w:r>
          </w:p>
        </w:tc>
        <w:tc>
          <w:tcPr>
            <w:tcW w:w="1108"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424B94CB"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71,4</w:t>
            </w:r>
          </w:p>
        </w:tc>
        <w:tc>
          <w:tcPr>
            <w:tcW w:w="918"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6897FAAC" w14:textId="4A928C06"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60,5</w:t>
            </w:r>
          </w:p>
        </w:tc>
      </w:tr>
      <w:tr w:rsidR="008572B1" w:rsidRPr="0070018A" w14:paraId="063E6B24" w14:textId="77777777" w:rsidTr="0070018A">
        <w:trPr>
          <w:trHeight w:val="20"/>
        </w:trPr>
        <w:tc>
          <w:tcPr>
            <w:tcW w:w="1097"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0758169"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2022</w:t>
            </w:r>
          </w:p>
        </w:tc>
        <w:tc>
          <w:tcPr>
            <w:tcW w:w="1410"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06F2432F"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w:t>
            </w:r>
          </w:p>
        </w:tc>
        <w:tc>
          <w:tcPr>
            <w:tcW w:w="1152"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70811BB"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w:t>
            </w:r>
          </w:p>
        </w:tc>
        <w:tc>
          <w:tcPr>
            <w:tcW w:w="1295"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2B9CFA7E"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w:t>
            </w:r>
          </w:p>
        </w:tc>
        <w:tc>
          <w:tcPr>
            <w:tcW w:w="783"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40427928"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w:t>
            </w:r>
          </w:p>
        </w:tc>
        <w:tc>
          <w:tcPr>
            <w:tcW w:w="1247"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12ED503"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w:t>
            </w:r>
          </w:p>
        </w:tc>
        <w:tc>
          <w:tcPr>
            <w:tcW w:w="1108"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0CAEB9FF"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w:t>
            </w:r>
          </w:p>
        </w:tc>
        <w:tc>
          <w:tcPr>
            <w:tcW w:w="918"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26222050"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w:t>
            </w:r>
          </w:p>
        </w:tc>
      </w:tr>
      <w:tr w:rsidR="008572B1" w:rsidRPr="0070018A" w14:paraId="53FE67BC" w14:textId="77777777" w:rsidTr="0070018A">
        <w:trPr>
          <w:trHeight w:val="20"/>
        </w:trPr>
        <w:tc>
          <w:tcPr>
            <w:tcW w:w="1097"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23A101E5" w14:textId="5C7DE6D0"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2023</w:t>
            </w:r>
            <w:r w:rsidR="0070018A">
              <w:rPr>
                <w:rFonts w:ascii="Aptos" w:eastAsia="Times New Roman" w:hAnsi="Aptos" w:cs="Times New Roman"/>
                <w:sz w:val="20"/>
                <w:szCs w:val="20"/>
                <w:lang w:val="es-CO" w:eastAsia="es-MX"/>
              </w:rPr>
              <w:t>*</w:t>
            </w:r>
          </w:p>
        </w:tc>
        <w:tc>
          <w:tcPr>
            <w:tcW w:w="1410"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72D28268"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120</w:t>
            </w:r>
          </w:p>
        </w:tc>
        <w:tc>
          <w:tcPr>
            <w:tcW w:w="1152"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0E1D648"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39</w:t>
            </w:r>
          </w:p>
        </w:tc>
        <w:tc>
          <w:tcPr>
            <w:tcW w:w="1295"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42E63D6E"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-10</w:t>
            </w:r>
          </w:p>
        </w:tc>
        <w:tc>
          <w:tcPr>
            <w:tcW w:w="783"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5CF846C"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60,5</w:t>
            </w:r>
          </w:p>
        </w:tc>
        <w:tc>
          <w:tcPr>
            <w:tcW w:w="1247"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517E672"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+2,3</w:t>
            </w:r>
          </w:p>
        </w:tc>
        <w:tc>
          <w:tcPr>
            <w:tcW w:w="1108"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0F07AA2"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65,6</w:t>
            </w:r>
          </w:p>
        </w:tc>
        <w:tc>
          <w:tcPr>
            <w:tcW w:w="918"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749D5CCF"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53,0</w:t>
            </w:r>
          </w:p>
        </w:tc>
      </w:tr>
      <w:tr w:rsidR="008572B1" w:rsidRPr="0070018A" w14:paraId="0E9BD2A5" w14:textId="77777777" w:rsidTr="0070018A">
        <w:trPr>
          <w:trHeight w:val="20"/>
        </w:trPr>
        <w:tc>
          <w:tcPr>
            <w:tcW w:w="1097"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61DE7EC5"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2024</w:t>
            </w:r>
          </w:p>
        </w:tc>
        <w:tc>
          <w:tcPr>
            <w:tcW w:w="1410"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2FB245DA"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120</w:t>
            </w:r>
          </w:p>
        </w:tc>
        <w:tc>
          <w:tcPr>
            <w:tcW w:w="1152"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652E8074"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35</w:t>
            </w:r>
          </w:p>
        </w:tc>
        <w:tc>
          <w:tcPr>
            <w:tcW w:w="1295"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4402CE30"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+4</w:t>
            </w:r>
          </w:p>
        </w:tc>
        <w:tc>
          <w:tcPr>
            <w:tcW w:w="783"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3AACDE6E"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60,7</w:t>
            </w:r>
          </w:p>
        </w:tc>
        <w:tc>
          <w:tcPr>
            <w:tcW w:w="1247"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4DDF762"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+0,2</w:t>
            </w:r>
          </w:p>
        </w:tc>
        <w:tc>
          <w:tcPr>
            <w:tcW w:w="1108"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226820C7"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65,7</w:t>
            </w:r>
          </w:p>
        </w:tc>
        <w:tc>
          <w:tcPr>
            <w:tcW w:w="918"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0FBE3249"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53,3</w:t>
            </w:r>
          </w:p>
        </w:tc>
      </w:tr>
      <w:tr w:rsidR="008572B1" w:rsidRPr="0070018A" w14:paraId="21F1D7AA" w14:textId="77777777" w:rsidTr="0070018A">
        <w:trPr>
          <w:trHeight w:val="20"/>
        </w:trPr>
        <w:tc>
          <w:tcPr>
            <w:tcW w:w="1097"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0AECB94B"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2025</w:t>
            </w:r>
          </w:p>
        </w:tc>
        <w:tc>
          <w:tcPr>
            <w:tcW w:w="1410"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368D3250"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118</w:t>
            </w:r>
          </w:p>
        </w:tc>
        <w:tc>
          <w:tcPr>
            <w:tcW w:w="1152"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61CFE626"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38</w:t>
            </w:r>
          </w:p>
        </w:tc>
        <w:tc>
          <w:tcPr>
            <w:tcW w:w="1295"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7FBD3DC1"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-3</w:t>
            </w:r>
          </w:p>
        </w:tc>
        <w:tc>
          <w:tcPr>
            <w:tcW w:w="783"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9F72248"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61,3</w:t>
            </w:r>
          </w:p>
        </w:tc>
        <w:tc>
          <w:tcPr>
            <w:tcW w:w="1247"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38EADFBA"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+0,6</w:t>
            </w:r>
          </w:p>
        </w:tc>
        <w:tc>
          <w:tcPr>
            <w:tcW w:w="1108"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2595A58F"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67,5</w:t>
            </w:r>
          </w:p>
        </w:tc>
        <w:tc>
          <w:tcPr>
            <w:tcW w:w="918"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78FD2142"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52,0</w:t>
            </w:r>
          </w:p>
        </w:tc>
      </w:tr>
      <w:tr w:rsidR="008572B1" w:rsidRPr="0070018A" w14:paraId="65A87809" w14:textId="77777777" w:rsidTr="0070018A">
        <w:trPr>
          <w:trHeight w:val="20"/>
        </w:trPr>
        <w:tc>
          <w:tcPr>
            <w:tcW w:w="1097"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5EB63CE"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2026</w:t>
            </w:r>
          </w:p>
        </w:tc>
        <w:tc>
          <w:tcPr>
            <w:tcW w:w="1410"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4260C7E1"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120</w:t>
            </w:r>
          </w:p>
        </w:tc>
        <w:tc>
          <w:tcPr>
            <w:tcW w:w="1152"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5E0C7C0"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43</w:t>
            </w:r>
          </w:p>
        </w:tc>
        <w:tc>
          <w:tcPr>
            <w:tcW w:w="1295"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6B5BCF63"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-5</w:t>
            </w:r>
          </w:p>
        </w:tc>
        <w:tc>
          <w:tcPr>
            <w:tcW w:w="783"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3C300379"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60,2</w:t>
            </w:r>
          </w:p>
        </w:tc>
        <w:tc>
          <w:tcPr>
            <w:tcW w:w="1247"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9021233"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-1,1</w:t>
            </w:r>
          </w:p>
        </w:tc>
        <w:tc>
          <w:tcPr>
            <w:tcW w:w="1108"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7F80EED0"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66,6</w:t>
            </w:r>
          </w:p>
        </w:tc>
        <w:tc>
          <w:tcPr>
            <w:tcW w:w="918" w:type="dxa"/>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0569BEC" w14:textId="77777777" w:rsidR="008572B1" w:rsidRPr="0070018A" w:rsidRDefault="008572B1" w:rsidP="0070018A">
            <w:pPr>
              <w:spacing w:after="0" w:line="240" w:lineRule="auto"/>
              <w:jc w:val="center"/>
              <w:rPr>
                <w:rFonts w:ascii="Aptos" w:eastAsia="Times New Roman" w:hAnsi="Aptos" w:cs="Times New Roman"/>
                <w:sz w:val="20"/>
                <w:szCs w:val="20"/>
                <w:lang w:val="es-CO" w:eastAsia="es-MX"/>
              </w:rPr>
            </w:pPr>
            <w:r w:rsidRPr="0070018A">
              <w:rPr>
                <w:rFonts w:ascii="Aptos" w:eastAsia="Times New Roman" w:hAnsi="Aptos" w:cs="Times New Roman"/>
                <w:sz w:val="20"/>
                <w:szCs w:val="20"/>
                <w:lang w:val="es-CO" w:eastAsia="es-MX"/>
              </w:rPr>
              <w:t>50,6</w:t>
            </w:r>
          </w:p>
        </w:tc>
      </w:tr>
    </w:tbl>
    <w:p w14:paraId="7BFEA266" w14:textId="61704576" w:rsidR="008572B1" w:rsidRPr="0070018A" w:rsidRDefault="008572B1" w:rsidP="00580896">
      <w:pPr>
        <w:pStyle w:val="p1"/>
        <w:spacing w:before="0" w:beforeAutospacing="0" w:after="0" w:afterAutospacing="0"/>
        <w:jc w:val="both"/>
        <w:rPr>
          <w:rFonts w:ascii="Aptos" w:hAnsi="Aptos"/>
          <w:sz w:val="20"/>
          <w:szCs w:val="20"/>
        </w:rPr>
      </w:pPr>
      <w:r w:rsidRPr="0070018A">
        <w:rPr>
          <w:rFonts w:ascii="Aptos" w:hAnsi="Aptos"/>
          <w:sz w:val="20"/>
          <w:szCs w:val="20"/>
        </w:rPr>
        <w:t>*El ETI 2023 introdujo una revisión metodológica adicional y nuevas variables asociadas a resiliencia y seguridad energética.</w:t>
      </w:r>
    </w:p>
    <w:p w14:paraId="642B051E" w14:textId="77777777" w:rsidR="0070018A" w:rsidRDefault="0070018A" w:rsidP="00580896">
      <w:pPr>
        <w:pStyle w:val="Ttulo3"/>
        <w:spacing w:before="0"/>
        <w:jc w:val="both"/>
        <w:rPr>
          <w:rStyle w:val="s1"/>
          <w:rFonts w:ascii="Aptos" w:hAnsi="Aptos"/>
        </w:rPr>
      </w:pPr>
    </w:p>
    <w:p w14:paraId="72A90D13" w14:textId="5F1C8519" w:rsidR="008572B1" w:rsidRPr="0070018A" w:rsidRDefault="008572B1" w:rsidP="0070018A">
      <w:pPr>
        <w:pStyle w:val="Ttulo2"/>
        <w:spacing w:before="0"/>
        <w:jc w:val="both"/>
        <w:rPr>
          <w:rStyle w:val="s1"/>
          <w:b/>
          <w:bCs/>
          <w:color w:val="auto"/>
          <w:sz w:val="24"/>
          <w:szCs w:val="24"/>
        </w:rPr>
      </w:pPr>
      <w:r w:rsidRPr="0070018A">
        <w:rPr>
          <w:rStyle w:val="s1"/>
          <w:rFonts w:ascii="Aptos" w:hAnsi="Aptos"/>
          <w:b/>
          <w:bCs/>
          <w:color w:val="auto"/>
          <w:sz w:val="24"/>
          <w:szCs w:val="24"/>
        </w:rPr>
        <w:t>Principales tendencias observadas</w:t>
      </w:r>
    </w:p>
    <w:p w14:paraId="203BF0F3" w14:textId="77777777" w:rsidR="0070018A" w:rsidRDefault="0070018A" w:rsidP="00580896">
      <w:pPr>
        <w:pStyle w:val="p1"/>
        <w:spacing w:before="0" w:beforeAutospacing="0" w:after="0" w:afterAutospacing="0"/>
        <w:jc w:val="both"/>
        <w:rPr>
          <w:rFonts w:ascii="Aptos" w:hAnsi="Aptos"/>
        </w:rPr>
      </w:pPr>
    </w:p>
    <w:p w14:paraId="5A679301" w14:textId="1FD096F5" w:rsidR="008572B1" w:rsidRPr="00580896" w:rsidRDefault="008572B1" w:rsidP="0070018A">
      <w:pPr>
        <w:pStyle w:val="p1"/>
        <w:spacing w:before="0" w:beforeAutospacing="0" w:after="0" w:afterAutospacing="0"/>
        <w:jc w:val="both"/>
        <w:rPr>
          <w:rFonts w:ascii="Aptos" w:hAnsi="Aptos"/>
        </w:rPr>
      </w:pPr>
      <w:r w:rsidRPr="00580896">
        <w:rPr>
          <w:rFonts w:ascii="Aptos" w:hAnsi="Aptos"/>
        </w:rPr>
        <w:t>Del análisis de la serie histórica se identifican cuatro tendencias principales:</w:t>
      </w:r>
    </w:p>
    <w:p w14:paraId="675AA217" w14:textId="77777777" w:rsidR="0070018A" w:rsidRDefault="0070018A" w:rsidP="0070018A">
      <w:pPr>
        <w:pStyle w:val="Ttulo4"/>
        <w:spacing w:before="0"/>
        <w:jc w:val="both"/>
        <w:rPr>
          <w:rStyle w:val="s1"/>
          <w:rFonts w:ascii="Aptos" w:hAnsi="Aptos"/>
        </w:rPr>
      </w:pPr>
    </w:p>
    <w:p w14:paraId="527F6601" w14:textId="2354C14F" w:rsidR="008572B1" w:rsidRPr="0070018A" w:rsidRDefault="009422BC" w:rsidP="0070018A">
      <w:pPr>
        <w:pStyle w:val="Ttulo4"/>
        <w:spacing w:before="0"/>
        <w:ind w:left="217"/>
        <w:jc w:val="both"/>
        <w:rPr>
          <w:rFonts w:ascii="Aptos" w:hAnsi="Aptos"/>
          <w:b/>
          <w:bCs/>
          <w:color w:val="auto"/>
        </w:rPr>
      </w:pPr>
      <w:r>
        <w:rPr>
          <w:rStyle w:val="s1"/>
          <w:rFonts w:ascii="Aptos" w:hAnsi="Aptos"/>
          <w:b/>
          <w:bCs/>
          <w:color w:val="auto"/>
        </w:rPr>
        <w:t>a</w:t>
      </w:r>
      <w:r w:rsidR="008572B1" w:rsidRPr="0070018A">
        <w:rPr>
          <w:rStyle w:val="s1"/>
          <w:rFonts w:ascii="Aptos" w:hAnsi="Aptos"/>
          <w:b/>
          <w:bCs/>
          <w:color w:val="auto"/>
        </w:rPr>
        <w:t>. Mejora significativa entre 2019 y 202</w:t>
      </w:r>
      <w:r>
        <w:rPr>
          <w:rStyle w:val="s1"/>
          <w:rFonts w:ascii="Aptos" w:hAnsi="Aptos"/>
          <w:b/>
          <w:bCs/>
          <w:color w:val="auto"/>
        </w:rPr>
        <w:t>1</w:t>
      </w:r>
    </w:p>
    <w:p w14:paraId="76079797" w14:textId="77777777" w:rsidR="0070018A" w:rsidRDefault="0070018A" w:rsidP="0070018A">
      <w:pPr>
        <w:pStyle w:val="p1"/>
        <w:spacing w:before="0" w:beforeAutospacing="0" w:after="0" w:afterAutospacing="0"/>
        <w:ind w:left="217"/>
        <w:jc w:val="both"/>
        <w:rPr>
          <w:rFonts w:ascii="Aptos" w:hAnsi="Aptos"/>
        </w:rPr>
      </w:pPr>
    </w:p>
    <w:p w14:paraId="4A735A73" w14:textId="2270838D" w:rsidR="008572B1" w:rsidRPr="0070018A" w:rsidRDefault="008572B1" w:rsidP="0070018A">
      <w:pPr>
        <w:pStyle w:val="p1"/>
        <w:spacing w:before="0" w:beforeAutospacing="0" w:after="0" w:afterAutospacing="0"/>
        <w:ind w:left="217"/>
        <w:jc w:val="both"/>
        <w:rPr>
          <w:rFonts w:ascii="Aptos" w:hAnsi="Aptos"/>
        </w:rPr>
      </w:pPr>
      <w:r w:rsidRPr="0070018A">
        <w:rPr>
          <w:rFonts w:ascii="Aptos" w:hAnsi="Aptos"/>
        </w:rPr>
        <w:t>El período 2019-202</w:t>
      </w:r>
      <w:r w:rsidR="009422BC">
        <w:rPr>
          <w:rFonts w:ascii="Aptos" w:hAnsi="Aptos"/>
        </w:rPr>
        <w:t>1</w:t>
      </w:r>
      <w:r w:rsidRPr="0070018A">
        <w:rPr>
          <w:rFonts w:ascii="Aptos" w:hAnsi="Aptos"/>
        </w:rPr>
        <w:t xml:space="preserve"> registra el mejor desempeño de Colombia dentro de la serie disponible.</w:t>
      </w:r>
      <w:r w:rsidR="0070018A">
        <w:rPr>
          <w:rFonts w:ascii="Aptos" w:hAnsi="Aptos"/>
        </w:rPr>
        <w:t xml:space="preserve"> </w:t>
      </w:r>
      <w:r w:rsidRPr="0070018A">
        <w:rPr>
          <w:rFonts w:ascii="Aptos" w:hAnsi="Aptos"/>
        </w:rPr>
        <w:t xml:space="preserve">Durante este período el país avanzó </w:t>
      </w:r>
      <w:r w:rsidR="009422BC">
        <w:rPr>
          <w:rFonts w:ascii="Aptos" w:hAnsi="Aptos"/>
        </w:rPr>
        <w:t>cinco</w:t>
      </w:r>
      <w:r w:rsidRPr="0070018A">
        <w:rPr>
          <w:rFonts w:ascii="Aptos" w:hAnsi="Aptos"/>
        </w:rPr>
        <w:t xml:space="preserve"> posiciones en el ranking global, pasando del puesto 34 al puesto 2</w:t>
      </w:r>
      <w:r w:rsidR="009422BC">
        <w:rPr>
          <w:rFonts w:ascii="Aptos" w:hAnsi="Aptos"/>
        </w:rPr>
        <w:t>9</w:t>
      </w:r>
      <w:r w:rsidRPr="0070018A">
        <w:rPr>
          <w:rFonts w:ascii="Aptos" w:hAnsi="Aptos"/>
        </w:rPr>
        <w:t>, acompañado por mejoras tanto en el puntaje general como en los componentes de desempeño del sistema energético y preparación para la transición</w:t>
      </w:r>
      <w:r w:rsidR="009422BC">
        <w:rPr>
          <w:rFonts w:ascii="Aptos" w:hAnsi="Aptos"/>
        </w:rPr>
        <w:t>, que tuvo la mayor aceleración.</w:t>
      </w:r>
    </w:p>
    <w:p w14:paraId="093E20F2" w14:textId="77777777" w:rsidR="0070018A" w:rsidRDefault="0070018A" w:rsidP="0070018A">
      <w:pPr>
        <w:pStyle w:val="p1"/>
        <w:spacing w:before="0" w:beforeAutospacing="0" w:after="0" w:afterAutospacing="0"/>
        <w:ind w:left="217"/>
        <w:jc w:val="both"/>
        <w:rPr>
          <w:rFonts w:ascii="Aptos" w:hAnsi="Aptos"/>
        </w:rPr>
      </w:pPr>
    </w:p>
    <w:p w14:paraId="4661DC72" w14:textId="246C5C46" w:rsidR="008572B1" w:rsidRPr="0070018A" w:rsidRDefault="009422BC" w:rsidP="0070018A">
      <w:pPr>
        <w:pStyle w:val="p1"/>
        <w:spacing w:before="0" w:beforeAutospacing="0" w:after="0" w:afterAutospacing="0"/>
        <w:ind w:left="217"/>
        <w:jc w:val="both"/>
        <w:rPr>
          <w:rFonts w:ascii="Aptos" w:hAnsi="Aptos"/>
        </w:rPr>
      </w:pPr>
      <w:r>
        <w:rPr>
          <w:rFonts w:ascii="Aptos" w:hAnsi="Aptos"/>
        </w:rPr>
        <w:t xml:space="preserve">El </w:t>
      </w:r>
      <w:r w:rsidR="008572B1" w:rsidRPr="0070018A">
        <w:rPr>
          <w:rFonts w:ascii="Aptos" w:hAnsi="Aptos"/>
        </w:rPr>
        <w:t>comportamiento coincide con un período caracterizado por una fuerte dinámica de transición energética en Colombia, impulsada por el desarrollo de subastas de energías renovables, la consolidación de señales regulatorias para la incorporación de nuevas tecnologías y el fortalecimiento de los mecanismos de planeación sectorial.</w:t>
      </w:r>
    </w:p>
    <w:p w14:paraId="5AC169AD" w14:textId="77777777" w:rsidR="0070018A" w:rsidRDefault="0070018A" w:rsidP="0070018A">
      <w:pPr>
        <w:pStyle w:val="Ttulo4"/>
        <w:spacing w:before="0"/>
        <w:ind w:left="217"/>
        <w:jc w:val="both"/>
        <w:rPr>
          <w:rStyle w:val="s1"/>
          <w:rFonts w:ascii="Aptos" w:hAnsi="Aptos"/>
          <w:color w:val="auto"/>
        </w:rPr>
      </w:pPr>
    </w:p>
    <w:p w14:paraId="3352E61E" w14:textId="67D28BE3" w:rsidR="008572B1" w:rsidRPr="0070018A" w:rsidRDefault="009422BC" w:rsidP="0070018A">
      <w:pPr>
        <w:pStyle w:val="Ttulo4"/>
        <w:spacing w:before="0"/>
        <w:ind w:left="217"/>
        <w:jc w:val="both"/>
        <w:rPr>
          <w:rFonts w:ascii="Aptos" w:hAnsi="Aptos"/>
          <w:b/>
          <w:bCs/>
          <w:color w:val="auto"/>
        </w:rPr>
      </w:pPr>
      <w:r>
        <w:rPr>
          <w:rStyle w:val="s1"/>
          <w:rFonts w:ascii="Aptos" w:hAnsi="Aptos"/>
          <w:b/>
          <w:bCs/>
          <w:color w:val="auto"/>
        </w:rPr>
        <w:t>b</w:t>
      </w:r>
      <w:r w:rsidR="008572B1" w:rsidRPr="0070018A">
        <w:rPr>
          <w:rStyle w:val="s1"/>
          <w:rFonts w:ascii="Aptos" w:hAnsi="Aptos"/>
          <w:b/>
          <w:bCs/>
          <w:color w:val="auto"/>
        </w:rPr>
        <w:t>. Estabilidad relativa durante el período 202</w:t>
      </w:r>
      <w:r>
        <w:rPr>
          <w:rStyle w:val="s1"/>
          <w:rFonts w:ascii="Aptos" w:hAnsi="Aptos"/>
          <w:b/>
          <w:bCs/>
          <w:color w:val="auto"/>
        </w:rPr>
        <w:t>3</w:t>
      </w:r>
      <w:r w:rsidR="008572B1" w:rsidRPr="0070018A">
        <w:rPr>
          <w:rStyle w:val="s1"/>
          <w:rFonts w:ascii="Aptos" w:hAnsi="Aptos"/>
          <w:b/>
          <w:bCs/>
          <w:color w:val="auto"/>
        </w:rPr>
        <w:t>-202</w:t>
      </w:r>
      <w:r>
        <w:rPr>
          <w:rStyle w:val="s1"/>
          <w:rFonts w:ascii="Aptos" w:hAnsi="Aptos"/>
          <w:b/>
          <w:bCs/>
          <w:color w:val="auto"/>
        </w:rPr>
        <w:t>6</w:t>
      </w:r>
    </w:p>
    <w:p w14:paraId="154AF96C" w14:textId="77777777" w:rsidR="0070018A" w:rsidRDefault="0070018A" w:rsidP="0070018A">
      <w:pPr>
        <w:pStyle w:val="p1"/>
        <w:spacing w:before="0" w:beforeAutospacing="0" w:after="0" w:afterAutospacing="0"/>
        <w:ind w:left="217"/>
        <w:jc w:val="both"/>
        <w:rPr>
          <w:rFonts w:ascii="Aptos" w:hAnsi="Aptos"/>
        </w:rPr>
      </w:pPr>
    </w:p>
    <w:p w14:paraId="09D0F851" w14:textId="77777777" w:rsidR="009422BC" w:rsidRDefault="008572B1" w:rsidP="009422BC">
      <w:pPr>
        <w:pStyle w:val="p1"/>
        <w:spacing w:before="0" w:beforeAutospacing="0" w:after="0" w:afterAutospacing="0"/>
        <w:ind w:left="217"/>
        <w:jc w:val="both"/>
        <w:rPr>
          <w:rFonts w:ascii="Aptos" w:hAnsi="Aptos"/>
        </w:rPr>
      </w:pPr>
      <w:r w:rsidRPr="0070018A">
        <w:rPr>
          <w:rFonts w:ascii="Aptos" w:hAnsi="Aptos"/>
        </w:rPr>
        <w:t>Entre 202</w:t>
      </w:r>
      <w:r w:rsidR="009422BC">
        <w:rPr>
          <w:rFonts w:ascii="Aptos" w:hAnsi="Aptos"/>
        </w:rPr>
        <w:t>3</w:t>
      </w:r>
      <w:r w:rsidRPr="0070018A">
        <w:rPr>
          <w:rFonts w:ascii="Aptos" w:hAnsi="Aptos"/>
        </w:rPr>
        <w:t xml:space="preserve"> y 202</w:t>
      </w:r>
      <w:r w:rsidR="009422BC">
        <w:rPr>
          <w:rFonts w:ascii="Aptos" w:hAnsi="Aptos"/>
        </w:rPr>
        <w:t>6</w:t>
      </w:r>
      <w:r w:rsidRPr="0070018A">
        <w:rPr>
          <w:rFonts w:ascii="Aptos" w:hAnsi="Aptos"/>
        </w:rPr>
        <w:t xml:space="preserve"> se observa una relativa estabilidad en los puntajes obtenidos por Colombia.</w:t>
      </w:r>
    </w:p>
    <w:p w14:paraId="268E6C51" w14:textId="77777777" w:rsidR="009422BC" w:rsidRDefault="009422BC" w:rsidP="009422BC">
      <w:pPr>
        <w:pStyle w:val="p1"/>
        <w:spacing w:before="0" w:beforeAutospacing="0" w:after="0" w:afterAutospacing="0"/>
        <w:ind w:left="217"/>
        <w:jc w:val="both"/>
        <w:rPr>
          <w:rFonts w:ascii="Aptos" w:hAnsi="Aptos"/>
        </w:rPr>
      </w:pPr>
    </w:p>
    <w:p w14:paraId="1E22AA0F" w14:textId="3DE8CF81" w:rsidR="008572B1" w:rsidRDefault="009422BC" w:rsidP="009422BC">
      <w:pPr>
        <w:pStyle w:val="p1"/>
        <w:spacing w:before="0" w:beforeAutospacing="0" w:after="0" w:afterAutospacing="0"/>
        <w:ind w:left="217"/>
        <w:jc w:val="both"/>
        <w:rPr>
          <w:rFonts w:ascii="Aptos" w:hAnsi="Aptos"/>
        </w:rPr>
      </w:pPr>
      <w:r>
        <w:rPr>
          <w:rFonts w:ascii="Aptos" w:hAnsi="Aptos"/>
        </w:rPr>
        <w:t>Las</w:t>
      </w:r>
      <w:r w:rsidR="008572B1" w:rsidRPr="0070018A">
        <w:rPr>
          <w:rFonts w:ascii="Aptos" w:hAnsi="Aptos"/>
        </w:rPr>
        <w:t xml:space="preserve"> variaciones en el ranking</w:t>
      </w:r>
      <w:r>
        <w:rPr>
          <w:rFonts w:ascii="Aptos" w:hAnsi="Aptos"/>
        </w:rPr>
        <w:t xml:space="preserve"> </w:t>
      </w:r>
      <w:r w:rsidR="008572B1" w:rsidRPr="0070018A">
        <w:rPr>
          <w:rFonts w:ascii="Aptos" w:hAnsi="Aptos"/>
        </w:rPr>
        <w:t>coinciden en gran medida con ajustes metodológicos implementados por el Foro Económico Mundial y con cambios observados en el desempeño de otros países.</w:t>
      </w:r>
      <w:r>
        <w:rPr>
          <w:rFonts w:ascii="Aptos" w:hAnsi="Aptos"/>
        </w:rPr>
        <w:t xml:space="preserve"> Sin embargo, l</w:t>
      </w:r>
      <w:r w:rsidRPr="009422BC">
        <w:rPr>
          <w:rFonts w:ascii="Aptos" w:hAnsi="Aptos"/>
        </w:rPr>
        <w:t xml:space="preserve">a posición relativa de Colombia dentro de </w:t>
      </w:r>
      <w:r w:rsidRPr="009422BC">
        <w:rPr>
          <w:rFonts w:ascii="Aptos" w:hAnsi="Aptos"/>
        </w:rPr>
        <w:lastRenderedPageBreak/>
        <w:t>América Latina ha permanecido relativamente estable</w:t>
      </w:r>
      <w:r>
        <w:rPr>
          <w:rFonts w:ascii="Aptos" w:hAnsi="Aptos"/>
        </w:rPr>
        <w:t xml:space="preserve">, de manera que </w:t>
      </w:r>
      <w:r w:rsidRPr="009422BC">
        <w:rPr>
          <w:rFonts w:ascii="Aptos" w:hAnsi="Aptos"/>
        </w:rPr>
        <w:t>a pesar de las fluctuaciones observadas en el ranking global, Colombia ha conservado una posición relativamente favorable dentro del contexto latinoamericano</w:t>
      </w:r>
      <w:r>
        <w:rPr>
          <w:rFonts w:ascii="Aptos" w:hAnsi="Aptos"/>
        </w:rPr>
        <w:t xml:space="preserve">, con </w:t>
      </w:r>
      <w:r w:rsidRPr="009422BC">
        <w:rPr>
          <w:rFonts w:ascii="Aptos" w:hAnsi="Aptos"/>
        </w:rPr>
        <w:t>Brasil, Chile y Uruguay lidera</w:t>
      </w:r>
      <w:r>
        <w:rPr>
          <w:rFonts w:ascii="Aptos" w:hAnsi="Aptos"/>
        </w:rPr>
        <w:t>n</w:t>
      </w:r>
      <w:r w:rsidRPr="009422BC">
        <w:rPr>
          <w:rFonts w:ascii="Aptos" w:hAnsi="Aptos"/>
        </w:rPr>
        <w:t xml:space="preserve">do la región en varias de las ediciones </w:t>
      </w:r>
      <w:r>
        <w:rPr>
          <w:rFonts w:ascii="Aptos" w:hAnsi="Aptos"/>
        </w:rPr>
        <w:t>del ETI.</w:t>
      </w:r>
    </w:p>
    <w:p w14:paraId="45BB0633" w14:textId="77777777" w:rsidR="009422BC" w:rsidRPr="0070018A" w:rsidRDefault="009422BC" w:rsidP="009422BC">
      <w:pPr>
        <w:pStyle w:val="p1"/>
        <w:spacing w:before="0" w:beforeAutospacing="0" w:after="0" w:afterAutospacing="0"/>
        <w:jc w:val="both"/>
        <w:rPr>
          <w:rFonts w:ascii="Aptos" w:hAnsi="Aptos"/>
        </w:rPr>
      </w:pPr>
    </w:p>
    <w:p w14:paraId="32E2B946" w14:textId="4FCA16EB" w:rsidR="008572B1" w:rsidRPr="0070018A" w:rsidRDefault="008572B1" w:rsidP="0070018A">
      <w:pPr>
        <w:pStyle w:val="p1"/>
        <w:spacing w:before="0" w:beforeAutospacing="0" w:after="0" w:afterAutospacing="0"/>
        <w:ind w:left="217"/>
        <w:jc w:val="both"/>
        <w:rPr>
          <w:rFonts w:ascii="Aptos" w:hAnsi="Aptos"/>
        </w:rPr>
      </w:pPr>
      <w:r w:rsidRPr="0070018A">
        <w:rPr>
          <w:rFonts w:ascii="Aptos" w:hAnsi="Aptos"/>
        </w:rPr>
        <w:t>Durante este período Colombia mantuvo puntajes cercanos a los 60 puntos en el índice general</w:t>
      </w:r>
      <w:r w:rsidR="009422BC">
        <w:rPr>
          <w:rFonts w:ascii="Aptos" w:hAnsi="Aptos"/>
        </w:rPr>
        <w:t>.</w:t>
      </w:r>
    </w:p>
    <w:p w14:paraId="2068896D" w14:textId="77777777" w:rsidR="0070018A" w:rsidRDefault="0070018A" w:rsidP="0070018A">
      <w:pPr>
        <w:pStyle w:val="Ttulo4"/>
        <w:spacing w:before="0"/>
        <w:ind w:left="217"/>
        <w:jc w:val="both"/>
        <w:rPr>
          <w:rStyle w:val="s1"/>
          <w:rFonts w:ascii="Aptos" w:hAnsi="Aptos"/>
          <w:color w:val="auto"/>
        </w:rPr>
      </w:pPr>
    </w:p>
    <w:p w14:paraId="3EEA7245" w14:textId="1C6B4F35" w:rsidR="008572B1" w:rsidRPr="0070018A" w:rsidRDefault="009422BC" w:rsidP="0070018A">
      <w:pPr>
        <w:pStyle w:val="Ttulo4"/>
        <w:spacing w:before="0"/>
        <w:ind w:left="217"/>
        <w:jc w:val="both"/>
        <w:rPr>
          <w:rFonts w:ascii="Aptos" w:hAnsi="Aptos"/>
          <w:b/>
          <w:bCs/>
          <w:color w:val="auto"/>
        </w:rPr>
      </w:pPr>
      <w:r>
        <w:rPr>
          <w:rStyle w:val="s1"/>
          <w:rFonts w:ascii="Aptos" w:hAnsi="Aptos"/>
          <w:b/>
          <w:bCs/>
          <w:color w:val="auto"/>
        </w:rPr>
        <w:t>c</w:t>
      </w:r>
      <w:r w:rsidR="008572B1" w:rsidRPr="0070018A">
        <w:rPr>
          <w:rStyle w:val="s1"/>
          <w:rFonts w:ascii="Aptos" w:hAnsi="Aptos"/>
          <w:b/>
          <w:bCs/>
          <w:color w:val="auto"/>
        </w:rPr>
        <w:t>. Fortalecimiento del desempeño del sistema energético</w:t>
      </w:r>
    </w:p>
    <w:p w14:paraId="6213E41A" w14:textId="77777777" w:rsidR="009422BC" w:rsidRDefault="009422BC" w:rsidP="0070018A">
      <w:pPr>
        <w:pStyle w:val="p1"/>
        <w:spacing w:before="0" w:beforeAutospacing="0" w:after="0" w:afterAutospacing="0"/>
        <w:ind w:left="217"/>
        <w:jc w:val="both"/>
        <w:rPr>
          <w:rFonts w:ascii="Aptos" w:hAnsi="Aptos"/>
        </w:rPr>
      </w:pPr>
    </w:p>
    <w:p w14:paraId="432E919D" w14:textId="16DE1D39" w:rsidR="008572B1" w:rsidRPr="0070018A" w:rsidRDefault="008572B1" w:rsidP="0070018A">
      <w:pPr>
        <w:pStyle w:val="p1"/>
        <w:spacing w:before="0" w:beforeAutospacing="0" w:after="0" w:afterAutospacing="0"/>
        <w:ind w:left="217"/>
        <w:jc w:val="both"/>
        <w:rPr>
          <w:rFonts w:ascii="Aptos" w:hAnsi="Aptos"/>
        </w:rPr>
      </w:pPr>
      <w:r w:rsidRPr="0070018A">
        <w:rPr>
          <w:rFonts w:ascii="Aptos" w:hAnsi="Aptos"/>
        </w:rPr>
        <w:t>A lo largo de toda la serie histórica, el componente de desempeño del sistema energético presenta resultados consistentemente superiores al puntaje general del índice.</w:t>
      </w:r>
    </w:p>
    <w:p w14:paraId="3EA64D93" w14:textId="77777777" w:rsidR="009422BC" w:rsidRDefault="009422BC" w:rsidP="0070018A">
      <w:pPr>
        <w:pStyle w:val="p3"/>
        <w:spacing w:before="0" w:beforeAutospacing="0" w:after="0" w:afterAutospacing="0"/>
        <w:ind w:left="217"/>
        <w:jc w:val="both"/>
        <w:rPr>
          <w:rFonts w:ascii="Aptos" w:hAnsi="Aptos"/>
        </w:rPr>
      </w:pPr>
    </w:p>
    <w:p w14:paraId="6C9517FD" w14:textId="3022B5D4" w:rsidR="008572B1" w:rsidRDefault="008572B1" w:rsidP="0070018A">
      <w:pPr>
        <w:pStyle w:val="p3"/>
        <w:spacing w:before="0" w:beforeAutospacing="0" w:after="0" w:afterAutospacing="0"/>
        <w:ind w:left="217"/>
        <w:jc w:val="both"/>
        <w:rPr>
          <w:rFonts w:ascii="Aptos" w:hAnsi="Aptos"/>
        </w:rPr>
      </w:pPr>
      <w:r w:rsidRPr="0070018A">
        <w:rPr>
          <w:rFonts w:ascii="Aptos" w:hAnsi="Aptos"/>
        </w:rPr>
        <w:t>En términos generales, Colombia mantiene valores cercanos o superiores a 66 puntos, reflejando fortalezas asociadas a:</w:t>
      </w:r>
    </w:p>
    <w:p w14:paraId="0B829181" w14:textId="77777777" w:rsidR="009422BC" w:rsidRPr="0070018A" w:rsidRDefault="009422BC" w:rsidP="0070018A">
      <w:pPr>
        <w:pStyle w:val="p3"/>
        <w:spacing w:before="0" w:beforeAutospacing="0" w:after="0" w:afterAutospacing="0"/>
        <w:ind w:left="217"/>
        <w:jc w:val="both"/>
        <w:rPr>
          <w:rFonts w:ascii="Aptos" w:hAnsi="Aptos"/>
        </w:rPr>
      </w:pPr>
    </w:p>
    <w:p w14:paraId="2EC62A97" w14:textId="77777777" w:rsidR="008572B1" w:rsidRPr="0070018A" w:rsidRDefault="008572B1" w:rsidP="0070018A">
      <w:pPr>
        <w:numPr>
          <w:ilvl w:val="0"/>
          <w:numId w:val="17"/>
        </w:numPr>
        <w:tabs>
          <w:tab w:val="clear" w:pos="720"/>
          <w:tab w:val="num" w:pos="937"/>
        </w:tabs>
        <w:spacing w:after="0" w:line="240" w:lineRule="auto"/>
        <w:ind w:left="937"/>
        <w:jc w:val="both"/>
        <w:rPr>
          <w:rFonts w:ascii="Aptos" w:hAnsi="Aptos"/>
        </w:rPr>
      </w:pPr>
      <w:r w:rsidRPr="0070018A">
        <w:rPr>
          <w:rFonts w:ascii="Aptos" w:hAnsi="Aptos"/>
        </w:rPr>
        <w:t>Alta participación de generación renovable.</w:t>
      </w:r>
    </w:p>
    <w:p w14:paraId="035CA911" w14:textId="77777777" w:rsidR="008572B1" w:rsidRPr="0070018A" w:rsidRDefault="008572B1" w:rsidP="0070018A">
      <w:pPr>
        <w:numPr>
          <w:ilvl w:val="0"/>
          <w:numId w:val="17"/>
        </w:numPr>
        <w:tabs>
          <w:tab w:val="clear" w:pos="720"/>
          <w:tab w:val="num" w:pos="937"/>
        </w:tabs>
        <w:spacing w:after="0" w:line="240" w:lineRule="auto"/>
        <w:ind w:left="937"/>
        <w:jc w:val="both"/>
        <w:rPr>
          <w:rFonts w:ascii="Aptos" w:hAnsi="Aptos"/>
        </w:rPr>
      </w:pPr>
      <w:r w:rsidRPr="0070018A">
        <w:rPr>
          <w:rFonts w:ascii="Aptos" w:hAnsi="Aptos"/>
        </w:rPr>
        <w:t>Amplia cobertura del servicio eléctrico.</w:t>
      </w:r>
    </w:p>
    <w:p w14:paraId="14CEAC39" w14:textId="77777777" w:rsidR="008572B1" w:rsidRPr="0070018A" w:rsidRDefault="008572B1" w:rsidP="0070018A">
      <w:pPr>
        <w:numPr>
          <w:ilvl w:val="0"/>
          <w:numId w:val="17"/>
        </w:numPr>
        <w:tabs>
          <w:tab w:val="clear" w:pos="720"/>
          <w:tab w:val="num" w:pos="937"/>
        </w:tabs>
        <w:spacing w:after="0" w:line="240" w:lineRule="auto"/>
        <w:ind w:left="937"/>
        <w:jc w:val="both"/>
        <w:rPr>
          <w:rFonts w:ascii="Aptos" w:hAnsi="Aptos"/>
        </w:rPr>
      </w:pPr>
      <w:r w:rsidRPr="0070018A">
        <w:rPr>
          <w:rFonts w:ascii="Aptos" w:hAnsi="Aptos"/>
        </w:rPr>
        <w:t>Relativa solidez institucional del sector.</w:t>
      </w:r>
    </w:p>
    <w:p w14:paraId="57B1BF47" w14:textId="77777777" w:rsidR="008572B1" w:rsidRPr="0070018A" w:rsidRDefault="008572B1" w:rsidP="0070018A">
      <w:pPr>
        <w:numPr>
          <w:ilvl w:val="0"/>
          <w:numId w:val="17"/>
        </w:numPr>
        <w:tabs>
          <w:tab w:val="clear" w:pos="720"/>
          <w:tab w:val="num" w:pos="937"/>
        </w:tabs>
        <w:spacing w:after="0" w:line="240" w:lineRule="auto"/>
        <w:ind w:left="937"/>
        <w:jc w:val="both"/>
        <w:rPr>
          <w:rFonts w:ascii="Aptos" w:hAnsi="Aptos"/>
        </w:rPr>
      </w:pPr>
      <w:r w:rsidRPr="0070018A">
        <w:rPr>
          <w:rFonts w:ascii="Aptos" w:hAnsi="Aptos"/>
        </w:rPr>
        <w:t>Bajo nivel de emisiones de la matriz eléctrica frente a otros países de características similares.</w:t>
      </w:r>
    </w:p>
    <w:p w14:paraId="1CB1437A" w14:textId="77777777" w:rsidR="0070018A" w:rsidRDefault="0070018A" w:rsidP="0070018A">
      <w:pPr>
        <w:pStyle w:val="Ttulo4"/>
        <w:spacing w:before="0"/>
        <w:ind w:left="217"/>
        <w:jc w:val="both"/>
        <w:rPr>
          <w:rStyle w:val="s1"/>
          <w:rFonts w:ascii="Aptos" w:hAnsi="Aptos"/>
          <w:color w:val="auto"/>
        </w:rPr>
      </w:pPr>
    </w:p>
    <w:p w14:paraId="5903E5F3" w14:textId="7BF659B7" w:rsidR="008572B1" w:rsidRPr="0070018A" w:rsidRDefault="009422BC" w:rsidP="0070018A">
      <w:pPr>
        <w:pStyle w:val="Ttulo4"/>
        <w:spacing w:before="0"/>
        <w:ind w:left="217"/>
        <w:jc w:val="both"/>
        <w:rPr>
          <w:rFonts w:ascii="Aptos" w:hAnsi="Aptos"/>
          <w:b/>
          <w:bCs/>
          <w:color w:val="auto"/>
        </w:rPr>
      </w:pPr>
      <w:r>
        <w:rPr>
          <w:rStyle w:val="s1"/>
          <w:rFonts w:ascii="Aptos" w:hAnsi="Aptos"/>
          <w:b/>
          <w:bCs/>
          <w:color w:val="auto"/>
        </w:rPr>
        <w:t>d</w:t>
      </w:r>
      <w:r w:rsidR="008572B1" w:rsidRPr="0070018A">
        <w:rPr>
          <w:rStyle w:val="s1"/>
          <w:rFonts w:ascii="Aptos" w:hAnsi="Aptos"/>
          <w:b/>
          <w:bCs/>
          <w:color w:val="auto"/>
        </w:rPr>
        <w:t>. Deterioro reciente de la preparación para la transición</w:t>
      </w:r>
    </w:p>
    <w:p w14:paraId="564C6774" w14:textId="77777777" w:rsidR="009422BC" w:rsidRDefault="009422BC" w:rsidP="0070018A">
      <w:pPr>
        <w:pStyle w:val="p1"/>
        <w:spacing w:before="0" w:beforeAutospacing="0" w:after="0" w:afterAutospacing="0"/>
        <w:ind w:left="217"/>
        <w:jc w:val="both"/>
        <w:rPr>
          <w:rFonts w:ascii="Aptos" w:hAnsi="Aptos"/>
        </w:rPr>
      </w:pPr>
    </w:p>
    <w:p w14:paraId="05998F58" w14:textId="2B14C167" w:rsidR="008572B1" w:rsidRPr="0070018A" w:rsidRDefault="008572B1" w:rsidP="0070018A">
      <w:pPr>
        <w:pStyle w:val="p1"/>
        <w:spacing w:before="0" w:beforeAutospacing="0" w:after="0" w:afterAutospacing="0"/>
        <w:ind w:left="217"/>
        <w:jc w:val="both"/>
        <w:rPr>
          <w:rFonts w:ascii="Aptos" w:hAnsi="Aptos"/>
        </w:rPr>
      </w:pPr>
      <w:r w:rsidRPr="0070018A">
        <w:rPr>
          <w:rFonts w:ascii="Aptos" w:hAnsi="Aptos"/>
        </w:rPr>
        <w:t>La tendencia más relevante de los últimos años corresponde al comportamiento del componente de preparación para la transición energética.</w:t>
      </w:r>
    </w:p>
    <w:p w14:paraId="78F42EF1" w14:textId="77777777" w:rsidR="009422BC" w:rsidRDefault="009422BC" w:rsidP="0070018A">
      <w:pPr>
        <w:pStyle w:val="p1"/>
        <w:spacing w:before="0" w:beforeAutospacing="0" w:after="0" w:afterAutospacing="0"/>
        <w:ind w:left="217"/>
        <w:jc w:val="both"/>
        <w:rPr>
          <w:rFonts w:ascii="Aptos" w:hAnsi="Aptos"/>
        </w:rPr>
      </w:pPr>
    </w:p>
    <w:p w14:paraId="426F6D29" w14:textId="671A1E73" w:rsidR="008572B1" w:rsidRPr="0070018A" w:rsidRDefault="008572B1" w:rsidP="009422BC">
      <w:pPr>
        <w:pStyle w:val="p1"/>
        <w:spacing w:before="0" w:beforeAutospacing="0" w:after="0" w:afterAutospacing="0"/>
        <w:ind w:left="217"/>
        <w:jc w:val="both"/>
        <w:rPr>
          <w:rFonts w:ascii="Aptos" w:hAnsi="Aptos"/>
        </w:rPr>
      </w:pPr>
      <w:r w:rsidRPr="0070018A">
        <w:rPr>
          <w:rFonts w:ascii="Aptos" w:hAnsi="Aptos"/>
        </w:rPr>
        <w:t xml:space="preserve">Después de alcanzar </w:t>
      </w:r>
      <w:r w:rsidR="009422BC">
        <w:rPr>
          <w:rFonts w:ascii="Aptos" w:hAnsi="Aptos"/>
        </w:rPr>
        <w:t>60</w:t>
      </w:r>
      <w:r w:rsidRPr="0070018A">
        <w:rPr>
          <w:rFonts w:ascii="Aptos" w:hAnsi="Aptos"/>
        </w:rPr>
        <w:t xml:space="preserve"> puntos </w:t>
      </w:r>
      <w:r w:rsidR="009422BC">
        <w:rPr>
          <w:rFonts w:ascii="Aptos" w:hAnsi="Aptos"/>
        </w:rPr>
        <w:t>en</w:t>
      </w:r>
      <w:r w:rsidRPr="0070018A">
        <w:rPr>
          <w:rFonts w:ascii="Aptos" w:hAnsi="Aptos"/>
        </w:rPr>
        <w:t xml:space="preserve"> 202</w:t>
      </w:r>
      <w:r w:rsidR="009422BC">
        <w:rPr>
          <w:rFonts w:ascii="Aptos" w:hAnsi="Aptos"/>
        </w:rPr>
        <w:t>3</w:t>
      </w:r>
      <w:r w:rsidRPr="0070018A">
        <w:rPr>
          <w:rFonts w:ascii="Aptos" w:hAnsi="Aptos"/>
        </w:rPr>
        <w:t>, este indicador muestra una reducción gradual hasta llegar a 50,6 puntos en 2026.</w:t>
      </w:r>
      <w:r w:rsidR="009422BC">
        <w:rPr>
          <w:rFonts w:ascii="Aptos" w:hAnsi="Aptos"/>
        </w:rPr>
        <w:t xml:space="preserve"> </w:t>
      </w:r>
      <w:r w:rsidRPr="0070018A">
        <w:rPr>
          <w:rFonts w:ascii="Aptos" w:hAnsi="Aptos"/>
        </w:rPr>
        <w:t>Esta evolución sugiere que, aunque el país mantiene resultados favorables en el funcionamiento actual de su sistema energético, enfrenta desafíos crecientes en aspectos relacionados con infraestructura, innovación, inversión y condiciones habilitantes para acelerar la transición energética.</w:t>
      </w:r>
    </w:p>
    <w:p w14:paraId="0B1C7F76" w14:textId="77777777" w:rsidR="009422BC" w:rsidRDefault="009422BC" w:rsidP="0070018A">
      <w:pPr>
        <w:pStyle w:val="Ttulo3"/>
        <w:spacing w:before="0"/>
        <w:ind w:left="217"/>
        <w:jc w:val="both"/>
        <w:rPr>
          <w:rStyle w:val="s1"/>
          <w:rFonts w:ascii="Aptos" w:hAnsi="Aptos"/>
          <w:color w:val="auto"/>
        </w:rPr>
      </w:pPr>
    </w:p>
    <w:p w14:paraId="3B90236B" w14:textId="77777777" w:rsidR="008572B1" w:rsidRPr="00580896" w:rsidRDefault="008572B1" w:rsidP="00580896">
      <w:pPr>
        <w:spacing w:after="0"/>
        <w:jc w:val="both"/>
        <w:rPr>
          <w:rFonts w:ascii="Aptos" w:hAnsi="Aptos" w:cs="Arial"/>
        </w:rPr>
      </w:pPr>
    </w:p>
    <w:p w14:paraId="2B699CA4" w14:textId="10E07D9F" w:rsidR="008572B1" w:rsidRPr="009422BC" w:rsidRDefault="008572B1" w:rsidP="009422BC">
      <w:pPr>
        <w:pStyle w:val="Ttulo2"/>
        <w:numPr>
          <w:ilvl w:val="0"/>
          <w:numId w:val="39"/>
        </w:numPr>
        <w:spacing w:before="0"/>
        <w:jc w:val="both"/>
        <w:rPr>
          <w:rStyle w:val="s1"/>
          <w:b/>
          <w:bCs/>
          <w:color w:val="auto"/>
        </w:rPr>
      </w:pPr>
      <w:r w:rsidRPr="009422BC">
        <w:rPr>
          <w:rStyle w:val="s1"/>
          <w:rFonts w:ascii="Aptos" w:hAnsi="Aptos"/>
          <w:b/>
          <w:bCs/>
          <w:color w:val="auto"/>
          <w:sz w:val="24"/>
          <w:szCs w:val="24"/>
        </w:rPr>
        <w:t>Evolución del desempeño del sistema energético (</w:t>
      </w:r>
      <w:proofErr w:type="spellStart"/>
      <w:r w:rsidRPr="009422BC">
        <w:rPr>
          <w:rStyle w:val="s1"/>
          <w:rFonts w:ascii="Aptos" w:hAnsi="Aptos"/>
          <w:b/>
          <w:bCs/>
          <w:color w:val="auto"/>
          <w:sz w:val="24"/>
          <w:szCs w:val="24"/>
        </w:rPr>
        <w:t>System</w:t>
      </w:r>
      <w:proofErr w:type="spellEnd"/>
      <w:r w:rsidRPr="009422BC">
        <w:rPr>
          <w:rStyle w:val="s1"/>
          <w:rFonts w:ascii="Aptos" w:hAnsi="Aptos"/>
          <w:b/>
          <w:bCs/>
          <w:color w:val="auto"/>
          <w:sz w:val="24"/>
          <w:szCs w:val="24"/>
        </w:rPr>
        <w:t xml:space="preserve"> Performance)</w:t>
      </w:r>
    </w:p>
    <w:p w14:paraId="1366CF1A" w14:textId="77777777" w:rsidR="009422BC" w:rsidRDefault="009422BC" w:rsidP="00580896">
      <w:pPr>
        <w:pStyle w:val="Ttulo2"/>
        <w:spacing w:before="0"/>
        <w:jc w:val="both"/>
        <w:rPr>
          <w:rStyle w:val="s1"/>
          <w:rFonts w:ascii="Aptos" w:hAnsi="Aptos"/>
          <w:sz w:val="24"/>
          <w:szCs w:val="24"/>
        </w:rPr>
      </w:pPr>
    </w:p>
    <w:p w14:paraId="241244D7" w14:textId="77777777" w:rsidR="009422BC" w:rsidRDefault="008572B1" w:rsidP="009422BC">
      <w:pPr>
        <w:pStyle w:val="p3"/>
        <w:spacing w:before="0" w:beforeAutospacing="0" w:after="0" w:afterAutospacing="0"/>
        <w:jc w:val="both"/>
        <w:rPr>
          <w:rFonts w:ascii="Aptos" w:hAnsi="Aptos"/>
        </w:rPr>
      </w:pPr>
      <w:r w:rsidRPr="00580896">
        <w:rPr>
          <w:rFonts w:ascii="Aptos" w:hAnsi="Aptos"/>
        </w:rPr>
        <w:t>La evolución observada muestra que el país ha mantenido niveles de desempeño superiores a 65 puntos durante todo el período disponible, alcanzando sus mejores resultados entre 2019 y 2021.</w:t>
      </w:r>
      <w:r w:rsidR="009422BC">
        <w:rPr>
          <w:rFonts w:ascii="Aptos" w:hAnsi="Aptos"/>
        </w:rPr>
        <w:t xml:space="preserve"> </w:t>
      </w:r>
      <w:r w:rsidRPr="00580896">
        <w:rPr>
          <w:rFonts w:ascii="Aptos" w:hAnsi="Aptos"/>
        </w:rPr>
        <w:t>Aunque se observa una disminución aparente a partir de 2023, esta variación debe interpretarse con cautela debido a los ajustes metodológicos implementados por el Foro Económico Mundial en las ediciones recientes del índice.</w:t>
      </w:r>
    </w:p>
    <w:p w14:paraId="349EF23A" w14:textId="77777777" w:rsidR="009422BC" w:rsidRDefault="009422BC" w:rsidP="009422BC">
      <w:pPr>
        <w:pStyle w:val="p3"/>
        <w:spacing w:before="0" w:beforeAutospacing="0" w:after="0" w:afterAutospacing="0"/>
        <w:jc w:val="both"/>
        <w:rPr>
          <w:rFonts w:ascii="Aptos" w:hAnsi="Aptos"/>
        </w:rPr>
      </w:pPr>
    </w:p>
    <w:p w14:paraId="77A84FE3" w14:textId="4C9EF1BC" w:rsidR="008572B1" w:rsidRDefault="008572B1" w:rsidP="009422BC">
      <w:pPr>
        <w:pStyle w:val="p3"/>
        <w:spacing w:before="0" w:beforeAutospacing="0" w:after="0" w:afterAutospacing="0"/>
        <w:jc w:val="both"/>
        <w:rPr>
          <w:rFonts w:ascii="Aptos" w:hAnsi="Aptos"/>
        </w:rPr>
      </w:pPr>
      <w:r w:rsidRPr="00580896">
        <w:rPr>
          <w:rFonts w:ascii="Aptos" w:hAnsi="Aptos"/>
        </w:rPr>
        <w:lastRenderedPageBreak/>
        <w:t>En términos generales, el comportamiento de Colombia evidencia una alta estabilidad en los resultados asociados al funcionamiento de su sistema energético.</w:t>
      </w:r>
      <w:r w:rsidR="009422BC">
        <w:rPr>
          <w:rFonts w:ascii="Aptos" w:hAnsi="Aptos"/>
        </w:rPr>
        <w:t>:</w:t>
      </w:r>
    </w:p>
    <w:p w14:paraId="627B1605" w14:textId="77777777" w:rsidR="009422BC" w:rsidRPr="00580896" w:rsidRDefault="009422BC" w:rsidP="009422BC">
      <w:pPr>
        <w:pStyle w:val="p3"/>
        <w:spacing w:before="0" w:beforeAutospacing="0" w:after="0" w:afterAutospacing="0"/>
        <w:jc w:val="both"/>
        <w:rPr>
          <w:rFonts w:ascii="Aptos" w:hAnsi="Aptos"/>
        </w:rPr>
      </w:pPr>
    </w:p>
    <w:p w14:paraId="1D37A244" w14:textId="77777777" w:rsidR="008572B1" w:rsidRPr="00580896" w:rsidRDefault="008572B1" w:rsidP="00580896">
      <w:pPr>
        <w:numPr>
          <w:ilvl w:val="0"/>
          <w:numId w:val="19"/>
        </w:numPr>
        <w:spacing w:after="0" w:line="240" w:lineRule="auto"/>
        <w:jc w:val="both"/>
        <w:rPr>
          <w:rFonts w:ascii="Aptos" w:hAnsi="Aptos"/>
        </w:rPr>
      </w:pPr>
      <w:r w:rsidRPr="00580896">
        <w:rPr>
          <w:rFonts w:ascii="Aptos" w:hAnsi="Aptos"/>
        </w:rPr>
        <w:t>El desempeño del sistema energético constituye la principal fortaleza de Colombia dentro del ETI.</w:t>
      </w:r>
    </w:p>
    <w:p w14:paraId="7A58CC0A" w14:textId="77777777" w:rsidR="008572B1" w:rsidRPr="00580896" w:rsidRDefault="008572B1" w:rsidP="00580896">
      <w:pPr>
        <w:numPr>
          <w:ilvl w:val="0"/>
          <w:numId w:val="19"/>
        </w:numPr>
        <w:spacing w:after="0" w:line="240" w:lineRule="auto"/>
        <w:jc w:val="both"/>
        <w:rPr>
          <w:rFonts w:ascii="Aptos" w:hAnsi="Aptos"/>
        </w:rPr>
      </w:pPr>
      <w:r w:rsidRPr="00580896">
        <w:rPr>
          <w:rFonts w:ascii="Aptos" w:hAnsi="Aptos"/>
        </w:rPr>
        <w:t>Los resultados obtenidos son consistentemente superiores al puntaje general del índice.</w:t>
      </w:r>
    </w:p>
    <w:p w14:paraId="3B988475" w14:textId="77777777" w:rsidR="008572B1" w:rsidRPr="00580896" w:rsidRDefault="008572B1" w:rsidP="00580896">
      <w:pPr>
        <w:numPr>
          <w:ilvl w:val="0"/>
          <w:numId w:val="19"/>
        </w:numPr>
        <w:spacing w:after="0" w:line="240" w:lineRule="auto"/>
        <w:jc w:val="both"/>
        <w:rPr>
          <w:rFonts w:ascii="Aptos" w:hAnsi="Aptos"/>
        </w:rPr>
      </w:pPr>
      <w:r w:rsidRPr="00580896">
        <w:rPr>
          <w:rFonts w:ascii="Aptos" w:hAnsi="Aptos"/>
        </w:rPr>
        <w:t>Colombia mantiene una posición favorable tanto en el contexto latinoamericano como frente al promedio mundial.</w:t>
      </w:r>
    </w:p>
    <w:p w14:paraId="651E5AD6" w14:textId="77777777" w:rsidR="008572B1" w:rsidRPr="00580896" w:rsidRDefault="008572B1" w:rsidP="00580896">
      <w:pPr>
        <w:numPr>
          <w:ilvl w:val="0"/>
          <w:numId w:val="19"/>
        </w:numPr>
        <w:spacing w:after="0" w:line="240" w:lineRule="auto"/>
        <w:jc w:val="both"/>
        <w:rPr>
          <w:rFonts w:ascii="Aptos" w:hAnsi="Aptos"/>
        </w:rPr>
      </w:pPr>
      <w:r w:rsidRPr="00580896">
        <w:rPr>
          <w:rFonts w:ascii="Aptos" w:hAnsi="Aptos"/>
        </w:rPr>
        <w:t>Las fortalezas observadas responden principalmente a factores estructurales del sector energético colombiano.</w:t>
      </w:r>
    </w:p>
    <w:p w14:paraId="7D074E44" w14:textId="77777777" w:rsidR="009422BC" w:rsidRDefault="009422BC" w:rsidP="00580896">
      <w:pPr>
        <w:pStyle w:val="Ttulo1"/>
        <w:spacing w:before="0" w:after="0"/>
        <w:jc w:val="both"/>
        <w:rPr>
          <w:rStyle w:val="s1"/>
          <w:rFonts w:ascii="Aptos" w:hAnsi="Aptos"/>
          <w:sz w:val="24"/>
          <w:szCs w:val="24"/>
        </w:rPr>
      </w:pPr>
    </w:p>
    <w:p w14:paraId="68674C5C" w14:textId="77777777" w:rsidR="008572B1" w:rsidRPr="009422BC" w:rsidRDefault="008572B1" w:rsidP="00580896">
      <w:pPr>
        <w:pStyle w:val="Ttulo2"/>
        <w:spacing w:before="0"/>
        <w:jc w:val="both"/>
        <w:rPr>
          <w:rFonts w:ascii="Aptos" w:hAnsi="Aptos"/>
          <w:b/>
          <w:bCs/>
          <w:color w:val="auto"/>
          <w:sz w:val="24"/>
          <w:szCs w:val="24"/>
        </w:rPr>
      </w:pPr>
      <w:r w:rsidRPr="009422BC">
        <w:rPr>
          <w:rStyle w:val="s1"/>
          <w:rFonts w:ascii="Aptos" w:hAnsi="Aptos"/>
          <w:b/>
          <w:bCs/>
          <w:color w:val="auto"/>
          <w:sz w:val="24"/>
          <w:szCs w:val="24"/>
        </w:rPr>
        <w:t>2018-2020: fortalecimiento del desempeño energético</w:t>
      </w:r>
    </w:p>
    <w:p w14:paraId="23CC5284" w14:textId="77777777" w:rsidR="009422BC" w:rsidRDefault="009422BC" w:rsidP="00580896">
      <w:pPr>
        <w:pStyle w:val="p2"/>
        <w:spacing w:before="0" w:beforeAutospacing="0" w:after="0" w:afterAutospacing="0"/>
        <w:jc w:val="both"/>
        <w:rPr>
          <w:rFonts w:ascii="Aptos" w:hAnsi="Aptos"/>
        </w:rPr>
      </w:pPr>
    </w:p>
    <w:p w14:paraId="6303D703" w14:textId="6B4A714F" w:rsidR="008572B1" w:rsidRDefault="008572B1" w:rsidP="009422BC">
      <w:pPr>
        <w:pStyle w:val="p2"/>
        <w:spacing w:before="0" w:beforeAutospacing="0" w:after="0" w:afterAutospacing="0"/>
        <w:jc w:val="both"/>
        <w:rPr>
          <w:rFonts w:ascii="Aptos" w:hAnsi="Aptos"/>
        </w:rPr>
      </w:pPr>
      <w:r w:rsidRPr="00580896">
        <w:rPr>
          <w:rFonts w:ascii="Aptos" w:hAnsi="Aptos"/>
        </w:rPr>
        <w:t>Entre 2019 y 2020 el país pasó de la posición 34 a la posición 25 entre 115 economías evaluadas, constituyéndose en uno de los avances más significativos observados durante el período.</w:t>
      </w:r>
      <w:r w:rsidR="009422BC">
        <w:rPr>
          <w:rFonts w:ascii="Aptos" w:hAnsi="Aptos"/>
        </w:rPr>
        <w:t xml:space="preserve"> </w:t>
      </w:r>
      <w:r w:rsidRPr="00580896">
        <w:rPr>
          <w:rFonts w:ascii="Aptos" w:hAnsi="Aptos"/>
        </w:rPr>
        <w:t>Este comportamiento coincide con un contexto caracterizado por:</w:t>
      </w:r>
    </w:p>
    <w:p w14:paraId="5A9C3039" w14:textId="77777777" w:rsidR="009422BC" w:rsidRPr="00580896" w:rsidRDefault="009422BC" w:rsidP="009422BC">
      <w:pPr>
        <w:pStyle w:val="p2"/>
        <w:spacing w:before="0" w:beforeAutospacing="0" w:after="0" w:afterAutospacing="0"/>
        <w:jc w:val="both"/>
        <w:rPr>
          <w:rFonts w:ascii="Aptos" w:hAnsi="Aptos"/>
        </w:rPr>
      </w:pPr>
    </w:p>
    <w:p w14:paraId="255C8707" w14:textId="77777777" w:rsidR="008572B1" w:rsidRPr="00580896" w:rsidRDefault="008572B1" w:rsidP="00580896">
      <w:pPr>
        <w:numPr>
          <w:ilvl w:val="0"/>
          <w:numId w:val="25"/>
        </w:numPr>
        <w:spacing w:after="0" w:line="240" w:lineRule="auto"/>
        <w:jc w:val="both"/>
        <w:rPr>
          <w:rFonts w:ascii="Aptos" w:hAnsi="Aptos"/>
        </w:rPr>
      </w:pPr>
      <w:r w:rsidRPr="00580896">
        <w:rPr>
          <w:rFonts w:ascii="Aptos" w:hAnsi="Aptos"/>
        </w:rPr>
        <w:t>Consolidación de la política de transición energética.</w:t>
      </w:r>
    </w:p>
    <w:p w14:paraId="69B4D176" w14:textId="77777777" w:rsidR="008572B1" w:rsidRPr="00580896" w:rsidRDefault="008572B1" w:rsidP="00580896">
      <w:pPr>
        <w:numPr>
          <w:ilvl w:val="0"/>
          <w:numId w:val="25"/>
        </w:numPr>
        <w:spacing w:after="0" w:line="240" w:lineRule="auto"/>
        <w:jc w:val="both"/>
        <w:rPr>
          <w:rFonts w:ascii="Aptos" w:hAnsi="Aptos"/>
        </w:rPr>
      </w:pPr>
      <w:r w:rsidRPr="00580896">
        <w:rPr>
          <w:rFonts w:ascii="Aptos" w:hAnsi="Aptos"/>
        </w:rPr>
        <w:t>Desarrollo de las primeras subastas de energías renovables a gran escala.</w:t>
      </w:r>
    </w:p>
    <w:p w14:paraId="58D4855D" w14:textId="77777777" w:rsidR="008572B1" w:rsidRPr="00580896" w:rsidRDefault="008572B1" w:rsidP="00580896">
      <w:pPr>
        <w:numPr>
          <w:ilvl w:val="0"/>
          <w:numId w:val="25"/>
        </w:numPr>
        <w:spacing w:after="0" w:line="240" w:lineRule="auto"/>
        <w:jc w:val="both"/>
        <w:rPr>
          <w:rFonts w:ascii="Aptos" w:hAnsi="Aptos"/>
        </w:rPr>
      </w:pPr>
      <w:r w:rsidRPr="00580896">
        <w:rPr>
          <w:rFonts w:ascii="Aptos" w:hAnsi="Aptos"/>
        </w:rPr>
        <w:t>Fortalecimiento de los instrumentos regulatorios para la incorporación de nuevas tecnologías.</w:t>
      </w:r>
    </w:p>
    <w:p w14:paraId="6C0D3765" w14:textId="77777777" w:rsidR="008572B1" w:rsidRPr="00580896" w:rsidRDefault="008572B1" w:rsidP="00580896">
      <w:pPr>
        <w:numPr>
          <w:ilvl w:val="0"/>
          <w:numId w:val="25"/>
        </w:numPr>
        <w:spacing w:after="0" w:line="240" w:lineRule="auto"/>
        <w:jc w:val="both"/>
        <w:rPr>
          <w:rFonts w:ascii="Aptos" w:hAnsi="Aptos"/>
        </w:rPr>
      </w:pPr>
      <w:r w:rsidRPr="00580896">
        <w:rPr>
          <w:rFonts w:ascii="Aptos" w:hAnsi="Aptos"/>
        </w:rPr>
        <w:t>Elevados niveles de confiabilidad del sistema eléctrico.</w:t>
      </w:r>
    </w:p>
    <w:p w14:paraId="2C8BC03B" w14:textId="77777777" w:rsidR="00B019BF" w:rsidRDefault="00B019BF" w:rsidP="00580896">
      <w:pPr>
        <w:pStyle w:val="p2"/>
        <w:spacing w:before="0" w:beforeAutospacing="0" w:after="0" w:afterAutospacing="0"/>
        <w:jc w:val="both"/>
        <w:rPr>
          <w:rFonts w:ascii="Aptos" w:hAnsi="Aptos"/>
        </w:rPr>
      </w:pPr>
    </w:p>
    <w:p w14:paraId="13940E97" w14:textId="77777777" w:rsidR="008572B1" w:rsidRPr="00580896" w:rsidRDefault="008572B1" w:rsidP="00580896">
      <w:pPr>
        <w:pStyle w:val="p2"/>
        <w:spacing w:before="0" w:beforeAutospacing="0" w:after="0" w:afterAutospacing="0"/>
        <w:jc w:val="both"/>
        <w:rPr>
          <w:rFonts w:ascii="Aptos" w:hAnsi="Aptos"/>
        </w:rPr>
      </w:pPr>
      <w:r w:rsidRPr="00580896">
        <w:rPr>
          <w:rFonts w:ascii="Aptos" w:hAnsi="Aptos"/>
        </w:rPr>
        <w:t>Durante este período Colombia se consolidó dentro del grupo líder de América Latina, ubicándose por encima de varias economías de ingreso medio y acercándose a los resultados observados en países tradicionalmente mejor posicionados dentro de la región.</w:t>
      </w:r>
    </w:p>
    <w:p w14:paraId="10B29C5D" w14:textId="77777777" w:rsidR="00B019BF" w:rsidRDefault="00B019BF" w:rsidP="00580896">
      <w:pPr>
        <w:pStyle w:val="p4"/>
        <w:spacing w:before="0" w:beforeAutospacing="0" w:after="0" w:afterAutospacing="0"/>
        <w:jc w:val="both"/>
        <w:rPr>
          <w:rFonts w:ascii="Aptos" w:hAnsi="Aptos"/>
        </w:rPr>
      </w:pPr>
    </w:p>
    <w:p w14:paraId="572F7734" w14:textId="085A7120" w:rsidR="008572B1" w:rsidRPr="00580896" w:rsidRDefault="008572B1" w:rsidP="00580896">
      <w:pPr>
        <w:pStyle w:val="p4"/>
        <w:spacing w:before="0" w:beforeAutospacing="0" w:after="0" w:afterAutospacing="0"/>
        <w:jc w:val="both"/>
        <w:rPr>
          <w:rFonts w:ascii="Aptos" w:hAnsi="Aptos"/>
        </w:rPr>
      </w:pPr>
      <w:r w:rsidRPr="00580896">
        <w:rPr>
          <w:rFonts w:ascii="Aptos" w:hAnsi="Aptos"/>
        </w:rPr>
        <w:t>A nivel mundial, el desempeño colombiano resultó particularmente favorable debido a la composición de su matriz eléctrica, caracterizada por una alta participación de generación hidroeléctrica y una baja intensidad de emisiones frente a otros países con niveles de desarrollo similares.</w:t>
      </w:r>
    </w:p>
    <w:p w14:paraId="370DB4FF" w14:textId="77777777" w:rsidR="00B019BF" w:rsidRDefault="00B019BF" w:rsidP="00580896">
      <w:pPr>
        <w:pStyle w:val="Ttulo2"/>
        <w:spacing w:before="0"/>
        <w:jc w:val="both"/>
        <w:rPr>
          <w:rStyle w:val="s1"/>
          <w:rFonts w:ascii="Aptos" w:hAnsi="Aptos"/>
          <w:sz w:val="24"/>
          <w:szCs w:val="24"/>
        </w:rPr>
      </w:pPr>
    </w:p>
    <w:p w14:paraId="49BE1F01" w14:textId="243C441C" w:rsidR="008572B1" w:rsidRPr="00B019BF" w:rsidRDefault="008572B1" w:rsidP="00580896">
      <w:pPr>
        <w:pStyle w:val="Ttulo2"/>
        <w:spacing w:before="0"/>
        <w:jc w:val="both"/>
        <w:rPr>
          <w:rFonts w:ascii="Aptos" w:hAnsi="Aptos"/>
          <w:b/>
          <w:bCs/>
          <w:color w:val="auto"/>
          <w:sz w:val="24"/>
          <w:szCs w:val="24"/>
        </w:rPr>
      </w:pPr>
      <w:r w:rsidRPr="00B019BF">
        <w:rPr>
          <w:rStyle w:val="s1"/>
          <w:rFonts w:ascii="Aptos" w:hAnsi="Aptos"/>
          <w:b/>
          <w:bCs/>
          <w:color w:val="auto"/>
          <w:sz w:val="24"/>
          <w:szCs w:val="24"/>
        </w:rPr>
        <w:t>2021-2022: resiliencia frente a la pandemia y la crisis energética global</w:t>
      </w:r>
    </w:p>
    <w:p w14:paraId="2D3AE5C2" w14:textId="77777777" w:rsidR="0043757C" w:rsidRDefault="0043757C" w:rsidP="00580896">
      <w:pPr>
        <w:pStyle w:val="p2"/>
        <w:spacing w:before="0" w:beforeAutospacing="0" w:after="0" w:afterAutospacing="0"/>
        <w:jc w:val="both"/>
        <w:rPr>
          <w:rFonts w:ascii="Aptos" w:hAnsi="Aptos"/>
        </w:rPr>
      </w:pPr>
    </w:p>
    <w:p w14:paraId="1DB8356B" w14:textId="717193AA" w:rsidR="008572B1" w:rsidRPr="00580896" w:rsidRDefault="008572B1" w:rsidP="00580896">
      <w:pPr>
        <w:pStyle w:val="p2"/>
        <w:spacing w:before="0" w:beforeAutospacing="0" w:after="0" w:afterAutospacing="0"/>
        <w:jc w:val="both"/>
        <w:rPr>
          <w:rFonts w:ascii="Aptos" w:hAnsi="Aptos"/>
        </w:rPr>
      </w:pPr>
      <w:r w:rsidRPr="00580896">
        <w:rPr>
          <w:rFonts w:ascii="Aptos" w:hAnsi="Aptos"/>
        </w:rPr>
        <w:t>La segunda etapa coincide con un contexto internacional marcado por la pandemia de COVID-19 y posteriormente por la crisis energética derivada de la invasión rusa a Ucrania.</w:t>
      </w:r>
    </w:p>
    <w:p w14:paraId="1D96FCCB" w14:textId="77777777" w:rsidR="00B019BF" w:rsidRDefault="00B019BF" w:rsidP="00580896">
      <w:pPr>
        <w:pStyle w:val="p2"/>
        <w:spacing w:before="0" w:beforeAutospacing="0" w:after="0" w:afterAutospacing="0"/>
        <w:jc w:val="both"/>
        <w:rPr>
          <w:rFonts w:ascii="Aptos" w:hAnsi="Aptos"/>
        </w:rPr>
      </w:pPr>
    </w:p>
    <w:p w14:paraId="2C85BBE8" w14:textId="152DEAD7" w:rsidR="008572B1" w:rsidRPr="00580896" w:rsidRDefault="008572B1" w:rsidP="00580896">
      <w:pPr>
        <w:pStyle w:val="p2"/>
        <w:spacing w:before="0" w:beforeAutospacing="0" w:after="0" w:afterAutospacing="0"/>
        <w:jc w:val="both"/>
        <w:rPr>
          <w:rFonts w:ascii="Aptos" w:hAnsi="Aptos"/>
        </w:rPr>
      </w:pPr>
      <w:r w:rsidRPr="00580896">
        <w:rPr>
          <w:rFonts w:ascii="Aptos" w:hAnsi="Aptos"/>
        </w:rPr>
        <w:t>Aunque la edición 2021 incorpora cambios metodológicos que dificultan la comparación directa con años anteriores, los resultados muestran que el país conservó niveles elevados de desempeño, particularmente en indicadores asociados con sostenibilidad y acceso a la energía.</w:t>
      </w:r>
    </w:p>
    <w:p w14:paraId="1BBD0FAB" w14:textId="77777777" w:rsidR="00B019BF" w:rsidRDefault="00B019BF" w:rsidP="00580896">
      <w:pPr>
        <w:pStyle w:val="p2"/>
        <w:spacing w:before="0" w:beforeAutospacing="0" w:after="0" w:afterAutospacing="0"/>
        <w:jc w:val="both"/>
        <w:rPr>
          <w:rFonts w:ascii="Aptos" w:hAnsi="Aptos"/>
        </w:rPr>
      </w:pPr>
    </w:p>
    <w:p w14:paraId="3DEFBD54" w14:textId="38CE0040" w:rsidR="008572B1" w:rsidRPr="00580896" w:rsidRDefault="008572B1" w:rsidP="00B019BF">
      <w:pPr>
        <w:pStyle w:val="p2"/>
        <w:spacing w:before="0" w:beforeAutospacing="0" w:after="0" w:afterAutospacing="0"/>
        <w:jc w:val="both"/>
        <w:rPr>
          <w:rFonts w:ascii="Aptos" w:hAnsi="Aptos"/>
        </w:rPr>
      </w:pPr>
      <w:r w:rsidRPr="00580896">
        <w:rPr>
          <w:rFonts w:ascii="Aptos" w:hAnsi="Aptos"/>
        </w:rPr>
        <w:lastRenderedPageBreak/>
        <w:t>La edición especial de 2022 resulta especialmente relevante porque el Foro Económico Mundial suspendió temporalmente el ranking de países y centró su análisis en la necesidad de fortalecer la seguridad energética como condición para una transición sostenible.</w:t>
      </w:r>
      <w:r w:rsidR="00B019BF">
        <w:rPr>
          <w:rFonts w:ascii="Aptos" w:hAnsi="Aptos"/>
        </w:rPr>
        <w:t xml:space="preserve"> </w:t>
      </w:r>
      <w:r w:rsidRPr="00580896">
        <w:rPr>
          <w:rFonts w:ascii="Aptos" w:hAnsi="Aptos"/>
        </w:rPr>
        <w:t>Esta coyuntura favoreció relativamente a Colombia debido a que el país contaba con una matriz energética menos expuesta a las disrupciones observadas en los mercados internacionales de combustibles fósiles.</w:t>
      </w:r>
    </w:p>
    <w:p w14:paraId="7476AB26" w14:textId="77777777" w:rsidR="00B019BF" w:rsidRDefault="00B019BF" w:rsidP="00580896">
      <w:pPr>
        <w:pStyle w:val="Ttulo2"/>
        <w:spacing w:before="0"/>
        <w:jc w:val="both"/>
        <w:rPr>
          <w:rStyle w:val="s1"/>
          <w:rFonts w:ascii="Aptos" w:hAnsi="Aptos"/>
          <w:sz w:val="24"/>
          <w:szCs w:val="24"/>
        </w:rPr>
      </w:pPr>
    </w:p>
    <w:p w14:paraId="5AF93E09" w14:textId="51EC61F4" w:rsidR="008572B1" w:rsidRPr="00B019BF" w:rsidRDefault="008572B1" w:rsidP="00580896">
      <w:pPr>
        <w:pStyle w:val="Ttulo2"/>
        <w:spacing w:before="0"/>
        <w:jc w:val="both"/>
        <w:rPr>
          <w:rFonts w:ascii="Aptos" w:hAnsi="Aptos"/>
          <w:b/>
          <w:bCs/>
          <w:color w:val="auto"/>
          <w:sz w:val="24"/>
          <w:szCs w:val="24"/>
        </w:rPr>
      </w:pPr>
      <w:r w:rsidRPr="00B019BF">
        <w:rPr>
          <w:rStyle w:val="s1"/>
          <w:rFonts w:ascii="Aptos" w:hAnsi="Aptos"/>
          <w:b/>
          <w:bCs/>
          <w:color w:val="auto"/>
          <w:sz w:val="24"/>
          <w:szCs w:val="24"/>
        </w:rPr>
        <w:t>2023-2026: consolidación de la energía limpia y nuevos desafíos</w:t>
      </w:r>
    </w:p>
    <w:p w14:paraId="5A852A16" w14:textId="77777777" w:rsidR="00B019BF" w:rsidRDefault="00B019BF" w:rsidP="00580896">
      <w:pPr>
        <w:pStyle w:val="p2"/>
        <w:spacing w:before="0" w:beforeAutospacing="0" w:after="0" w:afterAutospacing="0"/>
        <w:jc w:val="both"/>
        <w:rPr>
          <w:rFonts w:ascii="Aptos" w:hAnsi="Aptos"/>
        </w:rPr>
      </w:pPr>
    </w:p>
    <w:p w14:paraId="08478A10" w14:textId="0FFDF233" w:rsidR="008572B1" w:rsidRPr="00580896" w:rsidRDefault="008572B1" w:rsidP="00580896">
      <w:pPr>
        <w:pStyle w:val="p2"/>
        <w:spacing w:before="0" w:beforeAutospacing="0" w:after="0" w:afterAutospacing="0"/>
        <w:jc w:val="both"/>
        <w:rPr>
          <w:rFonts w:ascii="Aptos" w:hAnsi="Aptos"/>
        </w:rPr>
      </w:pPr>
      <w:r w:rsidRPr="00580896">
        <w:rPr>
          <w:rFonts w:ascii="Aptos" w:hAnsi="Aptos"/>
        </w:rPr>
        <w:t>En las ediciones más recientes se observa que Colombia mantiene resultados favorables en desempeño energético, incluso cuando pierde posiciones relativas en el ranking global.</w:t>
      </w:r>
      <w:r w:rsidR="00B019BF">
        <w:rPr>
          <w:rFonts w:ascii="Aptos" w:hAnsi="Aptos"/>
        </w:rPr>
        <w:t xml:space="preserve"> </w:t>
      </w:r>
      <w:r w:rsidRPr="00580896">
        <w:rPr>
          <w:rFonts w:ascii="Aptos" w:hAnsi="Aptos"/>
        </w:rPr>
        <w:t>Este comportamiento sugiere que la variación del ranking no responde necesariamente a un deterioro del sistema energético nacional, sino al avance más acelerado de otros países y a los ajustes metodológicos incorporados por el ETI.</w:t>
      </w:r>
    </w:p>
    <w:p w14:paraId="0D999D08" w14:textId="77777777" w:rsidR="00B019BF" w:rsidRDefault="00B019BF" w:rsidP="00580896">
      <w:pPr>
        <w:pStyle w:val="p2"/>
        <w:spacing w:before="0" w:beforeAutospacing="0" w:after="0" w:afterAutospacing="0"/>
        <w:jc w:val="both"/>
        <w:rPr>
          <w:rFonts w:ascii="Aptos" w:hAnsi="Aptos"/>
        </w:rPr>
      </w:pPr>
    </w:p>
    <w:p w14:paraId="3B8839F1" w14:textId="1C413BA3" w:rsidR="008572B1" w:rsidRPr="00580896" w:rsidRDefault="008572B1" w:rsidP="00580896">
      <w:pPr>
        <w:pStyle w:val="p2"/>
        <w:spacing w:before="0" w:beforeAutospacing="0" w:after="0" w:afterAutospacing="0"/>
        <w:jc w:val="both"/>
        <w:rPr>
          <w:rFonts w:ascii="Aptos" w:hAnsi="Aptos"/>
        </w:rPr>
      </w:pPr>
      <w:r w:rsidRPr="00580896">
        <w:rPr>
          <w:rFonts w:ascii="Aptos" w:hAnsi="Aptos"/>
        </w:rPr>
        <w:t>Un resultado particularmente relevante se observa en la edición 2026, donde Colombia registra un incremento de 13,9% en indicadores asociados a energía limpia, uno de los mayores avances identificados por el Foro Económico Mundial a nivel global.</w:t>
      </w:r>
    </w:p>
    <w:p w14:paraId="3980AC63" w14:textId="77777777" w:rsidR="00B019BF" w:rsidRDefault="00B019BF" w:rsidP="00580896">
      <w:pPr>
        <w:pStyle w:val="p3"/>
        <w:spacing w:before="0" w:beforeAutospacing="0" w:after="0" w:afterAutospacing="0"/>
        <w:jc w:val="both"/>
        <w:rPr>
          <w:rFonts w:ascii="Aptos" w:hAnsi="Aptos"/>
        </w:rPr>
      </w:pPr>
    </w:p>
    <w:p w14:paraId="7366E616" w14:textId="77777777" w:rsidR="008572B1" w:rsidRPr="00580896" w:rsidRDefault="008572B1" w:rsidP="00580896">
      <w:pPr>
        <w:pStyle w:val="p4"/>
        <w:spacing w:before="0" w:beforeAutospacing="0" w:after="0" w:afterAutospacing="0"/>
        <w:jc w:val="both"/>
        <w:rPr>
          <w:rFonts w:ascii="Aptos" w:hAnsi="Aptos"/>
        </w:rPr>
      </w:pPr>
      <w:r w:rsidRPr="00580896">
        <w:rPr>
          <w:rFonts w:ascii="Aptos" w:hAnsi="Aptos"/>
        </w:rPr>
        <w:t>No obstante, el mismo período muestra una creciente brecha entre desempeño energético y preparación para la transición, aspecto que será analizado en el siguiente capítulo.</w:t>
      </w:r>
    </w:p>
    <w:p w14:paraId="05F894E3" w14:textId="77777777" w:rsidR="00B019BF" w:rsidRDefault="00B019BF" w:rsidP="00580896">
      <w:pPr>
        <w:pStyle w:val="Ttulo1"/>
        <w:spacing w:before="0" w:after="0"/>
        <w:jc w:val="both"/>
        <w:rPr>
          <w:rStyle w:val="s1"/>
          <w:rFonts w:ascii="Aptos" w:hAnsi="Aptos"/>
          <w:sz w:val="24"/>
          <w:szCs w:val="24"/>
        </w:rPr>
      </w:pPr>
    </w:p>
    <w:p w14:paraId="794EC8EE" w14:textId="60FC42C1" w:rsidR="008572B1" w:rsidRPr="00B019BF" w:rsidRDefault="008572B1" w:rsidP="00580896">
      <w:pPr>
        <w:pStyle w:val="Ttulo2"/>
        <w:spacing w:before="0"/>
        <w:jc w:val="both"/>
        <w:rPr>
          <w:rFonts w:ascii="Aptos" w:hAnsi="Aptos"/>
          <w:b/>
          <w:bCs/>
          <w:color w:val="auto"/>
          <w:sz w:val="24"/>
          <w:szCs w:val="24"/>
        </w:rPr>
      </w:pPr>
      <w:r w:rsidRPr="00B019BF">
        <w:rPr>
          <w:rStyle w:val="s1"/>
          <w:rFonts w:ascii="Aptos" w:hAnsi="Aptos"/>
          <w:b/>
          <w:bCs/>
          <w:color w:val="auto"/>
          <w:sz w:val="24"/>
          <w:szCs w:val="24"/>
        </w:rPr>
        <w:t>Balance general</w:t>
      </w:r>
    </w:p>
    <w:p w14:paraId="4DD02087" w14:textId="77777777" w:rsidR="00B019BF" w:rsidRDefault="00B019BF" w:rsidP="00580896">
      <w:pPr>
        <w:pStyle w:val="p3"/>
        <w:spacing w:before="0" w:beforeAutospacing="0" w:after="0" w:afterAutospacing="0"/>
        <w:jc w:val="both"/>
        <w:rPr>
          <w:rFonts w:ascii="Aptos" w:hAnsi="Aptos"/>
        </w:rPr>
      </w:pPr>
    </w:p>
    <w:p w14:paraId="5E7F3896" w14:textId="4899C2B9" w:rsidR="008572B1" w:rsidRDefault="008572B1" w:rsidP="00580896">
      <w:pPr>
        <w:pStyle w:val="p3"/>
        <w:spacing w:before="0" w:beforeAutospacing="0" w:after="0" w:afterAutospacing="0"/>
        <w:jc w:val="both"/>
        <w:rPr>
          <w:rFonts w:ascii="Aptos" w:hAnsi="Aptos"/>
        </w:rPr>
      </w:pPr>
      <w:r w:rsidRPr="00580896">
        <w:rPr>
          <w:rFonts w:ascii="Aptos" w:hAnsi="Aptos"/>
        </w:rPr>
        <w:t>El análisis histórico muestra que Colombia ha logrado mantener un desempeño energético favorable durante todo el período analizado, apoyado principalmente en ventajas estructurales de su matriz eléctrica y en la consolidación institucional del sector energético.</w:t>
      </w:r>
    </w:p>
    <w:p w14:paraId="7F4832DD" w14:textId="77777777" w:rsidR="00B019BF" w:rsidRPr="00580896" w:rsidRDefault="00B019BF" w:rsidP="00580896">
      <w:pPr>
        <w:pStyle w:val="p3"/>
        <w:spacing w:before="0" w:beforeAutospacing="0" w:after="0" w:afterAutospacing="0"/>
        <w:jc w:val="both"/>
        <w:rPr>
          <w:rFonts w:ascii="Aptos" w:hAnsi="Aptos"/>
        </w:rPr>
      </w:pPr>
    </w:p>
    <w:p w14:paraId="51AAC282" w14:textId="77777777" w:rsidR="008572B1" w:rsidRDefault="008572B1" w:rsidP="00580896">
      <w:pPr>
        <w:pStyle w:val="p3"/>
        <w:spacing w:before="0" w:beforeAutospacing="0" w:after="0" w:afterAutospacing="0"/>
        <w:jc w:val="both"/>
        <w:rPr>
          <w:rFonts w:ascii="Aptos" w:hAnsi="Aptos"/>
        </w:rPr>
      </w:pPr>
      <w:r w:rsidRPr="00580896">
        <w:rPr>
          <w:rFonts w:ascii="Aptos" w:hAnsi="Aptos"/>
        </w:rPr>
        <w:t>No obstante, los resultados también evidencian que el mantenimiento de estas ventajas dependerá cada vez más de la capacidad para diversificar las fuentes de generación, fortalecer la infraestructura energética y aumentar la resiliencia del sistema frente a nuevos desafíos tecnológicos, climáticos y operativos.</w:t>
      </w:r>
    </w:p>
    <w:p w14:paraId="5F49856F" w14:textId="77777777" w:rsidR="00B019BF" w:rsidRPr="00580896" w:rsidRDefault="00B019BF" w:rsidP="00580896">
      <w:pPr>
        <w:pStyle w:val="p3"/>
        <w:spacing w:before="0" w:beforeAutospacing="0" w:after="0" w:afterAutospacing="0"/>
        <w:jc w:val="both"/>
        <w:rPr>
          <w:rFonts w:ascii="Aptos" w:hAnsi="Aptos"/>
        </w:rPr>
      </w:pPr>
    </w:p>
    <w:p w14:paraId="413B52EE" w14:textId="77777777" w:rsidR="008572B1" w:rsidRPr="00580896" w:rsidRDefault="008572B1" w:rsidP="00580896">
      <w:pPr>
        <w:pStyle w:val="p1"/>
        <w:spacing w:before="0" w:beforeAutospacing="0" w:after="0" w:afterAutospacing="0"/>
        <w:jc w:val="both"/>
        <w:rPr>
          <w:rFonts w:ascii="Aptos" w:hAnsi="Aptos"/>
        </w:rPr>
      </w:pPr>
      <w:r w:rsidRPr="00580896">
        <w:rPr>
          <w:rFonts w:ascii="Aptos" w:hAnsi="Aptos"/>
        </w:rPr>
        <w:t>En consecuencia, el desempeño del sistema energético continúa constituyendo una fortaleza para Colombia, pero su sostenibilidad futura dependerá de la capacidad para complementar las ventajas históricas con nuevas inversiones y capacidades que permitan responder a las exigencias de la transición energética global.</w:t>
      </w:r>
    </w:p>
    <w:p w14:paraId="090D280C" w14:textId="77777777" w:rsidR="008572B1" w:rsidRPr="00580896" w:rsidRDefault="008572B1" w:rsidP="00580896">
      <w:pPr>
        <w:pStyle w:val="p1"/>
        <w:spacing w:before="0" w:beforeAutospacing="0" w:after="0" w:afterAutospacing="0"/>
        <w:jc w:val="both"/>
        <w:rPr>
          <w:rFonts w:ascii="Aptos" w:hAnsi="Aptos"/>
        </w:rPr>
      </w:pPr>
    </w:p>
    <w:p w14:paraId="3CC0974F" w14:textId="44734A3D" w:rsidR="008572B1" w:rsidRPr="00B019BF" w:rsidRDefault="008572B1" w:rsidP="00B019BF">
      <w:pPr>
        <w:pStyle w:val="Ttulo2"/>
        <w:numPr>
          <w:ilvl w:val="0"/>
          <w:numId w:val="39"/>
        </w:numPr>
        <w:spacing w:before="0"/>
        <w:jc w:val="both"/>
        <w:rPr>
          <w:rStyle w:val="s1"/>
          <w:b/>
          <w:bCs/>
          <w:color w:val="auto"/>
        </w:rPr>
      </w:pPr>
      <w:r w:rsidRPr="00B019BF">
        <w:rPr>
          <w:rStyle w:val="s1"/>
          <w:rFonts w:ascii="Aptos" w:hAnsi="Aptos"/>
          <w:b/>
          <w:bCs/>
          <w:color w:val="auto"/>
          <w:sz w:val="24"/>
          <w:szCs w:val="24"/>
        </w:rPr>
        <w:t>Evolución de la preparación para la transición energética (</w:t>
      </w:r>
      <w:proofErr w:type="spellStart"/>
      <w:r w:rsidRPr="00B019BF">
        <w:rPr>
          <w:rStyle w:val="s1"/>
          <w:rFonts w:ascii="Aptos" w:hAnsi="Aptos"/>
          <w:b/>
          <w:bCs/>
          <w:color w:val="auto"/>
          <w:sz w:val="24"/>
          <w:szCs w:val="24"/>
        </w:rPr>
        <w:t>Transition</w:t>
      </w:r>
      <w:proofErr w:type="spellEnd"/>
      <w:r w:rsidRPr="00B019BF">
        <w:rPr>
          <w:rStyle w:val="s1"/>
          <w:rFonts w:ascii="Aptos" w:hAnsi="Aptos"/>
          <w:b/>
          <w:bCs/>
          <w:color w:val="auto"/>
          <w:sz w:val="24"/>
          <w:szCs w:val="24"/>
        </w:rPr>
        <w:t xml:space="preserve"> </w:t>
      </w:r>
      <w:proofErr w:type="spellStart"/>
      <w:r w:rsidRPr="00B019BF">
        <w:rPr>
          <w:rStyle w:val="s1"/>
          <w:rFonts w:ascii="Aptos" w:hAnsi="Aptos"/>
          <w:b/>
          <w:bCs/>
          <w:color w:val="auto"/>
          <w:sz w:val="24"/>
          <w:szCs w:val="24"/>
        </w:rPr>
        <w:t>Readiness</w:t>
      </w:r>
      <w:proofErr w:type="spellEnd"/>
      <w:r w:rsidRPr="00B019BF">
        <w:rPr>
          <w:rStyle w:val="s1"/>
          <w:rFonts w:ascii="Aptos" w:hAnsi="Aptos"/>
          <w:b/>
          <w:bCs/>
          <w:color w:val="auto"/>
          <w:sz w:val="24"/>
          <w:szCs w:val="24"/>
        </w:rPr>
        <w:t>)</w:t>
      </w:r>
    </w:p>
    <w:p w14:paraId="45CBA9DB" w14:textId="77777777" w:rsidR="00B019BF" w:rsidRDefault="00B019BF" w:rsidP="00580896">
      <w:pPr>
        <w:pStyle w:val="p2"/>
        <w:spacing w:before="0" w:beforeAutospacing="0" w:after="0" w:afterAutospacing="0"/>
        <w:jc w:val="both"/>
        <w:rPr>
          <w:rFonts w:ascii="Aptos" w:hAnsi="Aptos"/>
        </w:rPr>
      </w:pPr>
    </w:p>
    <w:p w14:paraId="20FEA88D" w14:textId="77777777" w:rsidR="008572B1" w:rsidRPr="00580896" w:rsidRDefault="008572B1" w:rsidP="00580896">
      <w:pPr>
        <w:pStyle w:val="p1"/>
        <w:spacing w:before="0" w:beforeAutospacing="0" w:after="0" w:afterAutospacing="0"/>
        <w:jc w:val="both"/>
        <w:rPr>
          <w:rFonts w:ascii="Aptos" w:hAnsi="Aptos"/>
        </w:rPr>
      </w:pPr>
      <w:r w:rsidRPr="00580896">
        <w:rPr>
          <w:rFonts w:ascii="Aptos" w:hAnsi="Aptos"/>
        </w:rPr>
        <w:t>La información evidencia tres tendencias claramente diferenciadas.</w:t>
      </w:r>
    </w:p>
    <w:p w14:paraId="6494E636" w14:textId="77777777" w:rsidR="008572B1" w:rsidRPr="00580896" w:rsidRDefault="008572B1" w:rsidP="00B019BF">
      <w:pPr>
        <w:pStyle w:val="p1"/>
        <w:numPr>
          <w:ilvl w:val="0"/>
          <w:numId w:val="40"/>
        </w:numPr>
        <w:spacing w:before="0" w:beforeAutospacing="0" w:after="0" w:afterAutospacing="0"/>
        <w:jc w:val="both"/>
        <w:rPr>
          <w:rFonts w:ascii="Aptos" w:hAnsi="Aptos"/>
        </w:rPr>
      </w:pPr>
      <w:r w:rsidRPr="00580896">
        <w:rPr>
          <w:rFonts w:ascii="Aptos" w:hAnsi="Aptos"/>
        </w:rPr>
        <w:lastRenderedPageBreak/>
        <w:t>En primer lugar, se observa una mejora significativa entre 2019 y 2021, período durante el cual Colombia incrementó de manera importante sus capacidades habilitantes para la transición energética.</w:t>
      </w:r>
    </w:p>
    <w:p w14:paraId="3F50A046" w14:textId="77777777" w:rsidR="008572B1" w:rsidRPr="00580896" w:rsidRDefault="008572B1" w:rsidP="00B019BF">
      <w:pPr>
        <w:pStyle w:val="p1"/>
        <w:numPr>
          <w:ilvl w:val="0"/>
          <w:numId w:val="40"/>
        </w:numPr>
        <w:spacing w:before="0" w:beforeAutospacing="0" w:after="0" w:afterAutospacing="0"/>
        <w:jc w:val="both"/>
        <w:rPr>
          <w:rFonts w:ascii="Aptos" w:hAnsi="Aptos"/>
        </w:rPr>
      </w:pPr>
      <w:r w:rsidRPr="00580896">
        <w:rPr>
          <w:rFonts w:ascii="Aptos" w:hAnsi="Aptos"/>
        </w:rPr>
        <w:t>Posteriormente, entre 2023 y 2024 se presenta una etapa de relativa estabilidad, coincidente con los ajustes metodológicos introducidos por el Foro Económico Mundial y con la recuperación posterior a la pandemia.</w:t>
      </w:r>
    </w:p>
    <w:p w14:paraId="13218489" w14:textId="77777777" w:rsidR="008572B1" w:rsidRPr="00580896" w:rsidRDefault="008572B1" w:rsidP="00B019BF">
      <w:pPr>
        <w:pStyle w:val="p1"/>
        <w:numPr>
          <w:ilvl w:val="0"/>
          <w:numId w:val="40"/>
        </w:numPr>
        <w:spacing w:before="0" w:beforeAutospacing="0" w:after="0" w:afterAutospacing="0"/>
        <w:jc w:val="both"/>
        <w:rPr>
          <w:rFonts w:ascii="Aptos" w:hAnsi="Aptos"/>
        </w:rPr>
      </w:pPr>
      <w:r w:rsidRPr="00580896">
        <w:rPr>
          <w:rFonts w:ascii="Aptos" w:hAnsi="Aptos"/>
        </w:rPr>
        <w:t>Finalmente, entre 2025 y 2026 se evidencia una reducción progresiva del indicador, situación que coincide con una tendencia observada en múltiples economías emergentes y en América Latina en general.</w:t>
      </w:r>
    </w:p>
    <w:p w14:paraId="2015D1BD" w14:textId="77777777" w:rsidR="00B019BF" w:rsidRDefault="00B019BF" w:rsidP="00580896">
      <w:pPr>
        <w:pStyle w:val="Ttulo3"/>
        <w:spacing w:before="0"/>
        <w:jc w:val="both"/>
        <w:rPr>
          <w:rStyle w:val="s1"/>
          <w:rFonts w:ascii="Aptos" w:hAnsi="Aptos"/>
        </w:rPr>
      </w:pPr>
    </w:p>
    <w:p w14:paraId="5CF0E108" w14:textId="77777777" w:rsidR="008572B1" w:rsidRPr="00B019BF" w:rsidRDefault="008572B1" w:rsidP="00580896">
      <w:pPr>
        <w:pStyle w:val="Ttulo3"/>
        <w:spacing w:before="0"/>
        <w:jc w:val="both"/>
        <w:rPr>
          <w:rFonts w:ascii="Aptos" w:hAnsi="Aptos"/>
          <w:b/>
          <w:bCs/>
          <w:color w:val="auto"/>
        </w:rPr>
      </w:pPr>
      <w:r w:rsidRPr="00B019BF">
        <w:rPr>
          <w:rStyle w:val="s1"/>
          <w:rFonts w:ascii="Aptos" w:hAnsi="Aptos"/>
          <w:b/>
          <w:bCs/>
          <w:color w:val="auto"/>
        </w:rPr>
        <w:t>2018-2020: fortalecimiento de las condiciones habilitantes</w:t>
      </w:r>
    </w:p>
    <w:p w14:paraId="00CC9B5F" w14:textId="77777777" w:rsidR="00B019BF" w:rsidRDefault="00B019BF" w:rsidP="00580896">
      <w:pPr>
        <w:pStyle w:val="p1"/>
        <w:spacing w:before="0" w:beforeAutospacing="0" w:after="0" w:afterAutospacing="0"/>
        <w:jc w:val="both"/>
        <w:rPr>
          <w:rFonts w:ascii="Aptos" w:hAnsi="Aptos"/>
        </w:rPr>
      </w:pPr>
    </w:p>
    <w:p w14:paraId="380C3F3A" w14:textId="472B65DA" w:rsidR="008572B1" w:rsidRDefault="008572B1" w:rsidP="00B019BF">
      <w:pPr>
        <w:pStyle w:val="p1"/>
        <w:spacing w:before="0" w:beforeAutospacing="0" w:after="0" w:afterAutospacing="0"/>
        <w:jc w:val="both"/>
        <w:rPr>
          <w:rFonts w:ascii="Aptos" w:hAnsi="Aptos"/>
        </w:rPr>
      </w:pPr>
      <w:r w:rsidRPr="00580896">
        <w:rPr>
          <w:rFonts w:ascii="Aptos" w:hAnsi="Aptos"/>
        </w:rPr>
        <w:t>Los primeros años de la serie muestran avances significativos en preparación para la transición.</w:t>
      </w:r>
      <w:r w:rsidR="00B019BF">
        <w:rPr>
          <w:rFonts w:ascii="Aptos" w:hAnsi="Aptos"/>
        </w:rPr>
        <w:t xml:space="preserve"> </w:t>
      </w:r>
      <w:r w:rsidRPr="00580896">
        <w:rPr>
          <w:rFonts w:ascii="Aptos" w:hAnsi="Aptos"/>
        </w:rPr>
        <w:t>Durante este período Colombia avanzó en:</w:t>
      </w:r>
    </w:p>
    <w:p w14:paraId="01019411" w14:textId="77777777" w:rsidR="00B019BF" w:rsidRPr="00580896" w:rsidRDefault="00B019BF" w:rsidP="00B019BF">
      <w:pPr>
        <w:pStyle w:val="p1"/>
        <w:spacing w:before="0" w:beforeAutospacing="0" w:after="0" w:afterAutospacing="0"/>
        <w:jc w:val="both"/>
        <w:rPr>
          <w:rFonts w:ascii="Aptos" w:hAnsi="Aptos"/>
        </w:rPr>
      </w:pPr>
    </w:p>
    <w:p w14:paraId="48E2587B" w14:textId="77777777" w:rsidR="008572B1" w:rsidRPr="00580896" w:rsidRDefault="008572B1" w:rsidP="00580896">
      <w:pPr>
        <w:numPr>
          <w:ilvl w:val="0"/>
          <w:numId w:val="30"/>
        </w:numPr>
        <w:spacing w:after="0" w:line="240" w:lineRule="auto"/>
        <w:jc w:val="both"/>
        <w:rPr>
          <w:rFonts w:ascii="Aptos" w:hAnsi="Aptos"/>
        </w:rPr>
      </w:pPr>
      <w:r w:rsidRPr="00580896">
        <w:rPr>
          <w:rFonts w:ascii="Aptos" w:hAnsi="Aptos"/>
        </w:rPr>
        <w:t>Desarrollo de políticas de transición energética.</w:t>
      </w:r>
    </w:p>
    <w:p w14:paraId="2E693A4E" w14:textId="77777777" w:rsidR="008572B1" w:rsidRPr="00580896" w:rsidRDefault="008572B1" w:rsidP="00580896">
      <w:pPr>
        <w:numPr>
          <w:ilvl w:val="0"/>
          <w:numId w:val="30"/>
        </w:numPr>
        <w:spacing w:after="0" w:line="240" w:lineRule="auto"/>
        <w:jc w:val="both"/>
        <w:rPr>
          <w:rFonts w:ascii="Aptos" w:hAnsi="Aptos"/>
        </w:rPr>
      </w:pPr>
      <w:r w:rsidRPr="00580896">
        <w:rPr>
          <w:rFonts w:ascii="Aptos" w:hAnsi="Aptos"/>
        </w:rPr>
        <w:t>Diseño de mecanismos para incorporación de energías renovables.</w:t>
      </w:r>
    </w:p>
    <w:p w14:paraId="15EE9117" w14:textId="77777777" w:rsidR="008572B1" w:rsidRPr="00580896" w:rsidRDefault="008572B1" w:rsidP="00580896">
      <w:pPr>
        <w:numPr>
          <w:ilvl w:val="0"/>
          <w:numId w:val="30"/>
        </w:numPr>
        <w:spacing w:after="0" w:line="240" w:lineRule="auto"/>
        <w:jc w:val="both"/>
        <w:rPr>
          <w:rFonts w:ascii="Aptos" w:hAnsi="Aptos"/>
        </w:rPr>
      </w:pPr>
      <w:r w:rsidRPr="00580896">
        <w:rPr>
          <w:rFonts w:ascii="Aptos" w:hAnsi="Aptos"/>
        </w:rPr>
        <w:t>Fortalecimiento de señales regulatorias para nuevas inversiones.</w:t>
      </w:r>
    </w:p>
    <w:p w14:paraId="7C40CF28" w14:textId="77777777" w:rsidR="008572B1" w:rsidRPr="00580896" w:rsidRDefault="008572B1" w:rsidP="00580896">
      <w:pPr>
        <w:numPr>
          <w:ilvl w:val="0"/>
          <w:numId w:val="30"/>
        </w:numPr>
        <w:spacing w:after="0" w:line="240" w:lineRule="auto"/>
        <w:jc w:val="both"/>
        <w:rPr>
          <w:rFonts w:ascii="Aptos" w:hAnsi="Aptos"/>
        </w:rPr>
      </w:pPr>
      <w:r w:rsidRPr="00580896">
        <w:rPr>
          <w:rFonts w:ascii="Aptos" w:hAnsi="Aptos"/>
        </w:rPr>
        <w:t>Planeación de infraestructura energética de largo plazo.</w:t>
      </w:r>
    </w:p>
    <w:p w14:paraId="14D86058" w14:textId="77777777" w:rsidR="00B019BF" w:rsidRDefault="00B019BF" w:rsidP="00580896">
      <w:pPr>
        <w:pStyle w:val="p1"/>
        <w:spacing w:before="0" w:beforeAutospacing="0" w:after="0" w:afterAutospacing="0"/>
        <w:jc w:val="both"/>
        <w:rPr>
          <w:rFonts w:ascii="Aptos" w:hAnsi="Aptos"/>
        </w:rPr>
      </w:pPr>
    </w:p>
    <w:p w14:paraId="1AD2128C" w14:textId="06FC5989" w:rsidR="008572B1" w:rsidRPr="00580896" w:rsidRDefault="008572B1" w:rsidP="00580896">
      <w:pPr>
        <w:pStyle w:val="p1"/>
        <w:spacing w:before="0" w:beforeAutospacing="0" w:after="0" w:afterAutospacing="0"/>
        <w:jc w:val="both"/>
        <w:rPr>
          <w:rFonts w:ascii="Aptos" w:hAnsi="Aptos"/>
        </w:rPr>
      </w:pPr>
      <w:r w:rsidRPr="00580896">
        <w:rPr>
          <w:rFonts w:ascii="Aptos" w:hAnsi="Aptos"/>
        </w:rPr>
        <w:t>La mejora observada entre 2019 y 2020 resulta especialmente relevante debido a que el propio Foro Económico Mundial identifica a Colombia entre los países con mayores avances en factores habilitantes para la transición energética.</w:t>
      </w:r>
      <w:r w:rsidR="00B019BF">
        <w:rPr>
          <w:rFonts w:ascii="Aptos" w:hAnsi="Aptos"/>
        </w:rPr>
        <w:t xml:space="preserve"> </w:t>
      </w:r>
      <w:r w:rsidRPr="00580896">
        <w:rPr>
          <w:rFonts w:ascii="Aptos" w:hAnsi="Aptos"/>
        </w:rPr>
        <w:t>Este comportamiento coincide con la consolidación de la agenda nacional de transición energética y con el desarrollo de instrumentos orientados a atraer inversión hacia proyectos de generación renovable.</w:t>
      </w:r>
    </w:p>
    <w:p w14:paraId="15BBD2D2" w14:textId="77777777" w:rsidR="00B019BF" w:rsidRDefault="00B019BF" w:rsidP="00580896">
      <w:pPr>
        <w:pStyle w:val="Ttulo3"/>
        <w:spacing w:before="0"/>
        <w:jc w:val="both"/>
        <w:rPr>
          <w:rStyle w:val="s1"/>
          <w:rFonts w:ascii="Aptos" w:hAnsi="Aptos"/>
        </w:rPr>
      </w:pPr>
    </w:p>
    <w:p w14:paraId="081E47B3" w14:textId="1A039019" w:rsidR="008572B1" w:rsidRPr="00B019BF" w:rsidRDefault="008572B1" w:rsidP="00580896">
      <w:pPr>
        <w:pStyle w:val="Ttulo3"/>
        <w:spacing w:before="0"/>
        <w:jc w:val="both"/>
        <w:rPr>
          <w:rFonts w:ascii="Aptos" w:hAnsi="Aptos"/>
          <w:b/>
          <w:bCs/>
          <w:color w:val="auto"/>
        </w:rPr>
      </w:pPr>
      <w:r w:rsidRPr="00B019BF">
        <w:rPr>
          <w:rStyle w:val="s1"/>
          <w:rFonts w:ascii="Aptos" w:hAnsi="Aptos"/>
          <w:b/>
          <w:bCs/>
          <w:color w:val="auto"/>
        </w:rPr>
        <w:t>2021-2022: resiliencia frente a un contexto internacional complejo</w:t>
      </w:r>
    </w:p>
    <w:p w14:paraId="7244A46C" w14:textId="77777777" w:rsidR="00B019BF" w:rsidRDefault="00B019BF" w:rsidP="00580896">
      <w:pPr>
        <w:pStyle w:val="p1"/>
        <w:spacing w:before="0" w:beforeAutospacing="0" w:after="0" w:afterAutospacing="0"/>
        <w:jc w:val="both"/>
        <w:rPr>
          <w:rFonts w:ascii="Aptos" w:hAnsi="Aptos"/>
        </w:rPr>
      </w:pPr>
    </w:p>
    <w:p w14:paraId="49F3ADF6" w14:textId="77777777" w:rsidR="00B019BF" w:rsidRDefault="008572B1" w:rsidP="00580896">
      <w:pPr>
        <w:pStyle w:val="p1"/>
        <w:spacing w:before="0" w:beforeAutospacing="0" w:after="0" w:afterAutospacing="0"/>
        <w:jc w:val="both"/>
        <w:rPr>
          <w:rFonts w:ascii="Aptos" w:hAnsi="Aptos"/>
        </w:rPr>
      </w:pPr>
      <w:r w:rsidRPr="00580896">
        <w:rPr>
          <w:rFonts w:ascii="Aptos" w:hAnsi="Aptos"/>
        </w:rPr>
        <w:t>Durante este período la transición energética mundial enfrentó desafíos sin precedentes asociados a la pandemia de COVID-19, interrupciones en cadenas de suministro y posteriormente la crisis energética derivada de la guerra en Ucrania.</w:t>
      </w:r>
    </w:p>
    <w:p w14:paraId="657728A7" w14:textId="77777777" w:rsidR="00B019BF" w:rsidRDefault="00B019BF" w:rsidP="00580896">
      <w:pPr>
        <w:pStyle w:val="p1"/>
        <w:spacing w:before="0" w:beforeAutospacing="0" w:after="0" w:afterAutospacing="0"/>
        <w:jc w:val="both"/>
        <w:rPr>
          <w:rFonts w:ascii="Aptos" w:hAnsi="Aptos"/>
        </w:rPr>
      </w:pPr>
    </w:p>
    <w:p w14:paraId="35C5BED9" w14:textId="126CD293" w:rsidR="008572B1" w:rsidRPr="00580896" w:rsidRDefault="008572B1" w:rsidP="00580896">
      <w:pPr>
        <w:pStyle w:val="p1"/>
        <w:spacing w:before="0" w:beforeAutospacing="0" w:after="0" w:afterAutospacing="0"/>
        <w:jc w:val="both"/>
        <w:rPr>
          <w:rFonts w:ascii="Aptos" w:hAnsi="Aptos"/>
        </w:rPr>
      </w:pPr>
      <w:r w:rsidRPr="00580896">
        <w:rPr>
          <w:rFonts w:ascii="Aptos" w:hAnsi="Aptos"/>
        </w:rPr>
        <w:t>A pesar de este contexto, Colombia logró mantener resultados relativamente estables en preparación para la transición.</w:t>
      </w:r>
      <w:r w:rsidR="00B019BF">
        <w:rPr>
          <w:rFonts w:ascii="Aptos" w:hAnsi="Aptos"/>
        </w:rPr>
        <w:t xml:space="preserve"> </w:t>
      </w:r>
      <w:r w:rsidRPr="00580896">
        <w:rPr>
          <w:rFonts w:ascii="Aptos" w:hAnsi="Aptos"/>
        </w:rPr>
        <w:t>La estabilidad observada sugiere que las capacidades institucionales desarrolladas durante los años anteriores permitieron amortiguar parcialmente los efectos de las crisis internacionales sobre la planificación energética y la ejecución de proyectos.</w:t>
      </w:r>
    </w:p>
    <w:p w14:paraId="1B3379CB" w14:textId="77777777" w:rsidR="00B019BF" w:rsidRDefault="00B019BF" w:rsidP="00580896">
      <w:pPr>
        <w:pStyle w:val="p1"/>
        <w:spacing w:before="0" w:beforeAutospacing="0" w:after="0" w:afterAutospacing="0"/>
        <w:jc w:val="both"/>
        <w:rPr>
          <w:rFonts w:ascii="Aptos" w:hAnsi="Aptos"/>
        </w:rPr>
      </w:pPr>
    </w:p>
    <w:p w14:paraId="7E375D8D" w14:textId="73D706F9" w:rsidR="008572B1" w:rsidRPr="00580896" w:rsidRDefault="008572B1" w:rsidP="00580896">
      <w:pPr>
        <w:pStyle w:val="p1"/>
        <w:spacing w:before="0" w:beforeAutospacing="0" w:after="0" w:afterAutospacing="0"/>
        <w:jc w:val="both"/>
        <w:rPr>
          <w:rFonts w:ascii="Aptos" w:hAnsi="Aptos"/>
        </w:rPr>
      </w:pPr>
      <w:r w:rsidRPr="00580896">
        <w:rPr>
          <w:rFonts w:ascii="Aptos" w:hAnsi="Aptos"/>
        </w:rPr>
        <w:t>Sin embargo, el contexto global comenzó a mostrar señales de deterioro en factores relacionados con inversión, financiamiento e infraestructura, situación que posteriormente se reflejaría en los resultados de América Latina.</w:t>
      </w:r>
    </w:p>
    <w:p w14:paraId="02FBE1AD" w14:textId="77777777" w:rsidR="00B019BF" w:rsidRDefault="00B019BF" w:rsidP="00580896">
      <w:pPr>
        <w:pStyle w:val="Ttulo3"/>
        <w:spacing w:before="0"/>
        <w:jc w:val="both"/>
        <w:rPr>
          <w:rStyle w:val="s1"/>
          <w:rFonts w:ascii="Aptos" w:hAnsi="Aptos"/>
        </w:rPr>
      </w:pPr>
    </w:p>
    <w:p w14:paraId="2D0CD872" w14:textId="20D4137A" w:rsidR="008572B1" w:rsidRPr="00B019BF" w:rsidRDefault="008572B1" w:rsidP="00580896">
      <w:pPr>
        <w:pStyle w:val="Ttulo3"/>
        <w:spacing w:before="0"/>
        <w:jc w:val="both"/>
        <w:rPr>
          <w:rFonts w:ascii="Aptos" w:hAnsi="Aptos"/>
          <w:b/>
          <w:bCs/>
          <w:color w:val="auto"/>
        </w:rPr>
      </w:pPr>
      <w:r w:rsidRPr="00B019BF">
        <w:rPr>
          <w:rStyle w:val="s1"/>
          <w:rFonts w:ascii="Aptos" w:hAnsi="Aptos"/>
          <w:b/>
          <w:bCs/>
          <w:color w:val="auto"/>
        </w:rPr>
        <w:t>2023-2026: desaceleración de los factores habilitantes</w:t>
      </w:r>
    </w:p>
    <w:p w14:paraId="4D4DA161" w14:textId="77777777" w:rsidR="00B019BF" w:rsidRDefault="00B019BF" w:rsidP="00580896">
      <w:pPr>
        <w:pStyle w:val="p1"/>
        <w:spacing w:before="0" w:beforeAutospacing="0" w:after="0" w:afterAutospacing="0"/>
        <w:jc w:val="both"/>
        <w:rPr>
          <w:rFonts w:ascii="Aptos" w:hAnsi="Aptos"/>
        </w:rPr>
      </w:pPr>
    </w:p>
    <w:p w14:paraId="645DAF91" w14:textId="2673DD35" w:rsidR="008572B1" w:rsidRPr="00580896" w:rsidRDefault="008572B1" w:rsidP="00580896">
      <w:pPr>
        <w:pStyle w:val="p1"/>
        <w:spacing w:before="0" w:beforeAutospacing="0" w:after="0" w:afterAutospacing="0"/>
        <w:jc w:val="both"/>
        <w:rPr>
          <w:rFonts w:ascii="Aptos" w:hAnsi="Aptos"/>
        </w:rPr>
      </w:pPr>
      <w:r w:rsidRPr="00580896">
        <w:rPr>
          <w:rFonts w:ascii="Aptos" w:hAnsi="Aptos"/>
        </w:rPr>
        <w:t>Las ediciones más recientes del ETI muestran una tendencia menos favorable.</w:t>
      </w:r>
      <w:r w:rsidR="00B019BF">
        <w:rPr>
          <w:rFonts w:ascii="Aptos" w:hAnsi="Aptos"/>
        </w:rPr>
        <w:t xml:space="preserve"> </w:t>
      </w:r>
      <w:r w:rsidRPr="00580896">
        <w:rPr>
          <w:rFonts w:ascii="Aptos" w:hAnsi="Aptos"/>
        </w:rPr>
        <w:t>Aunque Colombia mantiene resultados relativamente competitivos dentro del contexto regional, el componente de preparación para la transición comienza a mostrar una pérdida gradual de dinamismo.</w:t>
      </w:r>
    </w:p>
    <w:p w14:paraId="24F03942" w14:textId="77777777" w:rsidR="00B019BF" w:rsidRDefault="00B019BF" w:rsidP="00580896">
      <w:pPr>
        <w:pStyle w:val="p1"/>
        <w:spacing w:before="0" w:beforeAutospacing="0" w:after="0" w:afterAutospacing="0"/>
        <w:jc w:val="both"/>
        <w:rPr>
          <w:rFonts w:ascii="Aptos" w:hAnsi="Aptos"/>
        </w:rPr>
      </w:pPr>
    </w:p>
    <w:p w14:paraId="385125BD" w14:textId="4AC414BA" w:rsidR="008572B1" w:rsidRDefault="008572B1" w:rsidP="00B019BF">
      <w:pPr>
        <w:pStyle w:val="p1"/>
        <w:spacing w:before="0" w:beforeAutospacing="0" w:after="0" w:afterAutospacing="0"/>
        <w:jc w:val="both"/>
        <w:rPr>
          <w:rFonts w:ascii="Aptos" w:hAnsi="Aptos"/>
        </w:rPr>
      </w:pPr>
      <w:r w:rsidRPr="00580896">
        <w:rPr>
          <w:rFonts w:ascii="Aptos" w:hAnsi="Aptos"/>
        </w:rPr>
        <w:t>Entre 2024 y 2026 el indicador se reduce de 53,3 a 50,6 puntos</w:t>
      </w:r>
      <w:r w:rsidR="00B019BF">
        <w:rPr>
          <w:rFonts w:ascii="Aptos" w:hAnsi="Aptos"/>
        </w:rPr>
        <w:t xml:space="preserve">, y </w:t>
      </w:r>
      <w:r w:rsidRPr="00580896">
        <w:rPr>
          <w:rFonts w:ascii="Aptos" w:hAnsi="Aptos"/>
        </w:rPr>
        <w:t>coincide con un cambio importante en los mensajes del Foro Económico Mundial.</w:t>
      </w:r>
      <w:r w:rsidR="00B019BF">
        <w:rPr>
          <w:rFonts w:ascii="Aptos" w:hAnsi="Aptos"/>
        </w:rPr>
        <w:t xml:space="preserve"> </w:t>
      </w:r>
      <w:r w:rsidRPr="00580896">
        <w:rPr>
          <w:rFonts w:ascii="Aptos" w:hAnsi="Aptos"/>
        </w:rPr>
        <w:t>Mientras las primeras ediciones del índice se concentraban principalmente en la expansión de energías limpias, las versiones más recientes enfatizan la necesidad de fortalecer:</w:t>
      </w:r>
    </w:p>
    <w:p w14:paraId="6A6290CB" w14:textId="77777777" w:rsidR="00B019BF" w:rsidRPr="00580896" w:rsidRDefault="00B019BF" w:rsidP="00B019BF">
      <w:pPr>
        <w:pStyle w:val="p1"/>
        <w:spacing w:before="0" w:beforeAutospacing="0" w:after="0" w:afterAutospacing="0"/>
        <w:jc w:val="both"/>
        <w:rPr>
          <w:rFonts w:ascii="Aptos" w:hAnsi="Aptos"/>
        </w:rPr>
      </w:pPr>
    </w:p>
    <w:p w14:paraId="1C219ABB" w14:textId="77777777" w:rsidR="008572B1" w:rsidRPr="00580896" w:rsidRDefault="008572B1" w:rsidP="00580896">
      <w:pPr>
        <w:numPr>
          <w:ilvl w:val="0"/>
          <w:numId w:val="31"/>
        </w:numPr>
        <w:spacing w:after="0" w:line="240" w:lineRule="auto"/>
        <w:jc w:val="both"/>
        <w:rPr>
          <w:rFonts w:ascii="Aptos" w:hAnsi="Aptos"/>
        </w:rPr>
      </w:pPr>
      <w:r w:rsidRPr="00580896">
        <w:rPr>
          <w:rFonts w:ascii="Aptos" w:hAnsi="Aptos"/>
        </w:rPr>
        <w:t>Infraestructura energética.</w:t>
      </w:r>
    </w:p>
    <w:p w14:paraId="5039ADF5" w14:textId="77777777" w:rsidR="008572B1" w:rsidRPr="00580896" w:rsidRDefault="008572B1" w:rsidP="00580896">
      <w:pPr>
        <w:numPr>
          <w:ilvl w:val="0"/>
          <w:numId w:val="31"/>
        </w:numPr>
        <w:spacing w:after="0" w:line="240" w:lineRule="auto"/>
        <w:jc w:val="both"/>
        <w:rPr>
          <w:rFonts w:ascii="Aptos" w:hAnsi="Aptos"/>
        </w:rPr>
      </w:pPr>
      <w:r w:rsidRPr="00580896">
        <w:rPr>
          <w:rFonts w:ascii="Aptos" w:hAnsi="Aptos"/>
        </w:rPr>
        <w:t>Redes eléctricas.</w:t>
      </w:r>
    </w:p>
    <w:p w14:paraId="4FD3686B" w14:textId="77777777" w:rsidR="008572B1" w:rsidRPr="00580896" w:rsidRDefault="008572B1" w:rsidP="00580896">
      <w:pPr>
        <w:numPr>
          <w:ilvl w:val="0"/>
          <w:numId w:val="31"/>
        </w:numPr>
        <w:spacing w:after="0" w:line="240" w:lineRule="auto"/>
        <w:jc w:val="both"/>
        <w:rPr>
          <w:rFonts w:ascii="Aptos" w:hAnsi="Aptos"/>
        </w:rPr>
      </w:pPr>
      <w:r w:rsidRPr="00580896">
        <w:rPr>
          <w:rFonts w:ascii="Aptos" w:hAnsi="Aptos"/>
        </w:rPr>
        <w:t>Innovación tecnológica.</w:t>
      </w:r>
    </w:p>
    <w:p w14:paraId="7C59B798" w14:textId="77777777" w:rsidR="008572B1" w:rsidRPr="00580896" w:rsidRDefault="008572B1" w:rsidP="00580896">
      <w:pPr>
        <w:numPr>
          <w:ilvl w:val="0"/>
          <w:numId w:val="31"/>
        </w:numPr>
        <w:spacing w:after="0" w:line="240" w:lineRule="auto"/>
        <w:jc w:val="both"/>
        <w:rPr>
          <w:rFonts w:ascii="Aptos" w:hAnsi="Aptos"/>
        </w:rPr>
      </w:pPr>
      <w:r w:rsidRPr="00580896">
        <w:rPr>
          <w:rFonts w:ascii="Aptos" w:hAnsi="Aptos"/>
        </w:rPr>
        <w:t>Movilización de capital.</w:t>
      </w:r>
    </w:p>
    <w:p w14:paraId="18E5438C" w14:textId="77777777" w:rsidR="008572B1" w:rsidRPr="00580896" w:rsidRDefault="008572B1" w:rsidP="00580896">
      <w:pPr>
        <w:numPr>
          <w:ilvl w:val="0"/>
          <w:numId w:val="31"/>
        </w:numPr>
        <w:spacing w:after="0" w:line="240" w:lineRule="auto"/>
        <w:jc w:val="both"/>
        <w:rPr>
          <w:rFonts w:ascii="Aptos" w:hAnsi="Aptos"/>
        </w:rPr>
      </w:pPr>
      <w:r w:rsidRPr="00580896">
        <w:rPr>
          <w:rFonts w:ascii="Aptos" w:hAnsi="Aptos"/>
        </w:rPr>
        <w:t>Seguridad de cadenas de suministro.</w:t>
      </w:r>
    </w:p>
    <w:p w14:paraId="2E5D18F8" w14:textId="77777777" w:rsidR="008572B1" w:rsidRPr="00580896" w:rsidRDefault="008572B1" w:rsidP="00580896">
      <w:pPr>
        <w:numPr>
          <w:ilvl w:val="0"/>
          <w:numId w:val="31"/>
        </w:numPr>
        <w:spacing w:after="0" w:line="240" w:lineRule="auto"/>
        <w:jc w:val="both"/>
        <w:rPr>
          <w:rFonts w:ascii="Aptos" w:hAnsi="Aptos"/>
        </w:rPr>
      </w:pPr>
      <w:r w:rsidRPr="00580896">
        <w:rPr>
          <w:rFonts w:ascii="Aptos" w:hAnsi="Aptos"/>
        </w:rPr>
        <w:t>Capacidades institucionales.</w:t>
      </w:r>
    </w:p>
    <w:p w14:paraId="24225244" w14:textId="77777777" w:rsidR="00B019BF" w:rsidRDefault="00B019BF" w:rsidP="00580896">
      <w:pPr>
        <w:pStyle w:val="p4"/>
        <w:spacing w:before="0" w:beforeAutospacing="0" w:after="0" w:afterAutospacing="0"/>
        <w:jc w:val="both"/>
        <w:rPr>
          <w:rFonts w:ascii="Aptos" w:hAnsi="Aptos"/>
        </w:rPr>
      </w:pPr>
    </w:p>
    <w:p w14:paraId="4493A408" w14:textId="6259A52B" w:rsidR="008572B1" w:rsidRPr="00580896" w:rsidRDefault="008572B1" w:rsidP="00580896">
      <w:pPr>
        <w:pStyle w:val="p4"/>
        <w:spacing w:before="0" w:beforeAutospacing="0" w:after="0" w:afterAutospacing="0"/>
        <w:jc w:val="both"/>
        <w:rPr>
          <w:rFonts w:ascii="Aptos" w:hAnsi="Aptos"/>
        </w:rPr>
      </w:pPr>
      <w:r w:rsidRPr="00580896">
        <w:rPr>
          <w:rFonts w:ascii="Aptos" w:hAnsi="Aptos"/>
        </w:rPr>
        <w:t>En consecuencia, los resultados recientes sugieren que los desafíos de Colombia ya no se concentran exclusivamente en incorporar nuevas fuentes de generación, sino en fortalecer las condiciones necesarias para sostener la transformación del sector energético en el largo plazo.</w:t>
      </w:r>
    </w:p>
    <w:p w14:paraId="3F6D81B5" w14:textId="77777777" w:rsidR="00B019BF" w:rsidRDefault="00B019BF" w:rsidP="00580896">
      <w:pPr>
        <w:pStyle w:val="Ttulo2"/>
        <w:spacing w:before="0"/>
        <w:jc w:val="both"/>
        <w:rPr>
          <w:rStyle w:val="s1"/>
          <w:rFonts w:ascii="Aptos" w:hAnsi="Aptos"/>
          <w:sz w:val="24"/>
          <w:szCs w:val="24"/>
        </w:rPr>
      </w:pPr>
    </w:p>
    <w:p w14:paraId="4D86612A" w14:textId="77777777" w:rsidR="00B019BF" w:rsidRPr="00B019BF" w:rsidRDefault="00B019BF" w:rsidP="00B019BF">
      <w:pPr>
        <w:pStyle w:val="Ttulo3"/>
        <w:spacing w:before="0"/>
        <w:jc w:val="both"/>
        <w:rPr>
          <w:rStyle w:val="s1"/>
          <w:b/>
          <w:bCs/>
          <w:color w:val="auto"/>
        </w:rPr>
      </w:pPr>
      <w:r w:rsidRPr="00B019BF">
        <w:rPr>
          <w:rStyle w:val="s1"/>
          <w:rFonts w:ascii="Aptos" w:hAnsi="Aptos"/>
          <w:b/>
          <w:bCs/>
          <w:color w:val="auto"/>
        </w:rPr>
        <w:t>Balance general</w:t>
      </w:r>
    </w:p>
    <w:p w14:paraId="3B4950DB" w14:textId="77777777" w:rsidR="00B019BF" w:rsidRDefault="00B019BF" w:rsidP="00580896">
      <w:pPr>
        <w:pStyle w:val="p1"/>
        <w:spacing w:before="0" w:beforeAutospacing="0" w:after="0" w:afterAutospacing="0"/>
        <w:jc w:val="both"/>
        <w:rPr>
          <w:rFonts w:ascii="Aptos" w:hAnsi="Aptos"/>
        </w:rPr>
      </w:pPr>
    </w:p>
    <w:p w14:paraId="2881871C" w14:textId="100FDEA2" w:rsidR="008572B1" w:rsidRPr="00580896" w:rsidRDefault="008572B1" w:rsidP="00580896">
      <w:pPr>
        <w:pStyle w:val="p1"/>
        <w:spacing w:before="0" w:beforeAutospacing="0" w:after="0" w:afterAutospacing="0"/>
        <w:jc w:val="both"/>
        <w:rPr>
          <w:rFonts w:ascii="Aptos" w:hAnsi="Aptos"/>
        </w:rPr>
      </w:pPr>
      <w:r w:rsidRPr="00580896">
        <w:rPr>
          <w:rFonts w:ascii="Aptos" w:hAnsi="Aptos"/>
        </w:rPr>
        <w:t>Los resultados de Colombia deben interpretarse dentro de una tendencia regional más amplia</w:t>
      </w:r>
      <w:r w:rsidR="00B019BF">
        <w:rPr>
          <w:rFonts w:ascii="Aptos" w:hAnsi="Aptos"/>
        </w:rPr>
        <w:t>, pues d</w:t>
      </w:r>
      <w:r w:rsidRPr="00580896">
        <w:rPr>
          <w:rFonts w:ascii="Aptos" w:hAnsi="Aptos"/>
        </w:rPr>
        <w:t>urante los últimos años América Latina ha mantenido un desempeño favorable en sostenibilidad energética gracias a la elevada participación de fuentes renovables dentro de sus matrices energéticas. Sin embargo, la región ha mostrado mayores dificultades para fortalecer los factores habilitantes de la transición.</w:t>
      </w:r>
    </w:p>
    <w:p w14:paraId="6939311C" w14:textId="77777777" w:rsidR="00B019BF" w:rsidRDefault="00B019BF" w:rsidP="00580896">
      <w:pPr>
        <w:pStyle w:val="p1"/>
        <w:spacing w:before="0" w:beforeAutospacing="0" w:after="0" w:afterAutospacing="0"/>
        <w:jc w:val="both"/>
        <w:rPr>
          <w:rFonts w:ascii="Aptos" w:hAnsi="Aptos"/>
        </w:rPr>
      </w:pPr>
    </w:p>
    <w:p w14:paraId="521EB5AF" w14:textId="60685F40" w:rsidR="008572B1" w:rsidRPr="00580896" w:rsidRDefault="008572B1" w:rsidP="00580896">
      <w:pPr>
        <w:pStyle w:val="p1"/>
        <w:spacing w:before="0" w:beforeAutospacing="0" w:after="0" w:afterAutospacing="0"/>
        <w:jc w:val="both"/>
        <w:rPr>
          <w:rFonts w:ascii="Aptos" w:hAnsi="Aptos"/>
        </w:rPr>
      </w:pPr>
      <w:r w:rsidRPr="00580896">
        <w:rPr>
          <w:rFonts w:ascii="Aptos" w:hAnsi="Aptos"/>
        </w:rPr>
        <w:t>La edición 2026 del ETI evidencia una reducción regional de aproximadamente 2,5% en los indicadores asociados a preparación para la transición.</w:t>
      </w:r>
      <w:r w:rsidR="00B019BF">
        <w:rPr>
          <w:rFonts w:ascii="Aptos" w:hAnsi="Aptos"/>
        </w:rPr>
        <w:t xml:space="preserve"> </w:t>
      </w:r>
      <w:r w:rsidRPr="00580896">
        <w:rPr>
          <w:rFonts w:ascii="Aptos" w:hAnsi="Aptos"/>
        </w:rPr>
        <w:t>Este comportamiento sugiere que parte de los desafíos identificados para Colombia no corresponden exclusivamente a factores nacionales, sino que reflejan tendencias observadas en buena parte de América Latina.</w:t>
      </w:r>
    </w:p>
    <w:p w14:paraId="67E20A39" w14:textId="77777777" w:rsidR="00B019BF" w:rsidRDefault="00B019BF" w:rsidP="00580896">
      <w:pPr>
        <w:pStyle w:val="p4"/>
        <w:spacing w:before="0" w:beforeAutospacing="0" w:after="0" w:afterAutospacing="0"/>
        <w:jc w:val="both"/>
        <w:rPr>
          <w:rFonts w:ascii="Aptos" w:hAnsi="Aptos"/>
        </w:rPr>
      </w:pPr>
    </w:p>
    <w:p w14:paraId="7F2CE292" w14:textId="1F1AF2D1" w:rsidR="008572B1" w:rsidRPr="00580896" w:rsidRDefault="008572B1" w:rsidP="00580896">
      <w:pPr>
        <w:pStyle w:val="p4"/>
        <w:spacing w:before="0" w:beforeAutospacing="0" w:after="0" w:afterAutospacing="0"/>
        <w:jc w:val="both"/>
        <w:rPr>
          <w:rFonts w:ascii="Aptos" w:hAnsi="Aptos"/>
        </w:rPr>
      </w:pPr>
      <w:r w:rsidRPr="00580896">
        <w:rPr>
          <w:rFonts w:ascii="Aptos" w:hAnsi="Aptos"/>
        </w:rPr>
        <w:t>No obstante, varios países de la región han logrado fortalecer de manera más acelerada algunos componentes asociados a inversión, innovación e infraestructura, aspecto que explica parcialmente las diferencias observadas en los rankings regionales.</w:t>
      </w:r>
    </w:p>
    <w:p w14:paraId="13312F3B" w14:textId="77777777" w:rsidR="00ED1F08" w:rsidRDefault="00ED1F08" w:rsidP="00580896">
      <w:pPr>
        <w:pStyle w:val="p1"/>
        <w:spacing w:before="0" w:beforeAutospacing="0" w:after="0" w:afterAutospacing="0"/>
        <w:jc w:val="both"/>
        <w:rPr>
          <w:rFonts w:ascii="Aptos" w:hAnsi="Aptos"/>
        </w:rPr>
      </w:pPr>
    </w:p>
    <w:p w14:paraId="3F1AEB5D" w14:textId="4263F46F" w:rsidR="008572B1" w:rsidRDefault="008572B1" w:rsidP="00ED1F08">
      <w:pPr>
        <w:pStyle w:val="p1"/>
        <w:spacing w:before="0" w:beforeAutospacing="0" w:after="0" w:afterAutospacing="0"/>
        <w:jc w:val="both"/>
        <w:rPr>
          <w:rFonts w:ascii="Aptos" w:hAnsi="Aptos"/>
        </w:rPr>
      </w:pPr>
      <w:r w:rsidRPr="00580896">
        <w:rPr>
          <w:rFonts w:ascii="Aptos" w:hAnsi="Aptos"/>
        </w:rPr>
        <w:t xml:space="preserve">Durante la última década los avances mundiales estuvieron impulsados principalmente por la reducción de costos de las energías renovables, la expansión de la electrificación </w:t>
      </w:r>
      <w:r w:rsidRPr="00580896">
        <w:rPr>
          <w:rFonts w:ascii="Aptos" w:hAnsi="Aptos"/>
        </w:rPr>
        <w:lastRenderedPageBreak/>
        <w:t>y el fortalecimiento de políticas climáticas</w:t>
      </w:r>
      <w:r w:rsidR="00ED1F08">
        <w:rPr>
          <w:rFonts w:ascii="Aptos" w:hAnsi="Aptos"/>
        </w:rPr>
        <w:t xml:space="preserve">. </w:t>
      </w:r>
      <w:r w:rsidRPr="00580896">
        <w:rPr>
          <w:rFonts w:ascii="Aptos" w:hAnsi="Aptos"/>
        </w:rPr>
        <w:t>Sin embargo, los reportes más recientes del Foro Económico Mundial muestran una desaceleración en los factores habilitantes de la transición</w:t>
      </w:r>
      <w:r w:rsidR="00ED1F08">
        <w:rPr>
          <w:rFonts w:ascii="Aptos" w:hAnsi="Aptos"/>
        </w:rPr>
        <w:t>, que cuenta dentro de sus</w:t>
      </w:r>
      <w:r w:rsidRPr="00580896">
        <w:rPr>
          <w:rFonts w:ascii="Aptos" w:hAnsi="Aptos"/>
        </w:rPr>
        <w:t xml:space="preserve"> principales causas </w:t>
      </w:r>
      <w:r w:rsidR="00ED1F08">
        <w:rPr>
          <w:rFonts w:ascii="Aptos" w:hAnsi="Aptos"/>
        </w:rPr>
        <w:t>las siguientes</w:t>
      </w:r>
      <w:r w:rsidRPr="00580896">
        <w:rPr>
          <w:rFonts w:ascii="Aptos" w:hAnsi="Aptos"/>
        </w:rPr>
        <w:t>:</w:t>
      </w:r>
    </w:p>
    <w:p w14:paraId="4DB89274" w14:textId="77777777" w:rsidR="00ED1F08" w:rsidRPr="00580896" w:rsidRDefault="00ED1F08" w:rsidP="00ED1F08">
      <w:pPr>
        <w:pStyle w:val="p1"/>
        <w:spacing w:before="0" w:beforeAutospacing="0" w:after="0" w:afterAutospacing="0"/>
        <w:jc w:val="both"/>
        <w:rPr>
          <w:rFonts w:ascii="Aptos" w:hAnsi="Aptos"/>
        </w:rPr>
      </w:pPr>
    </w:p>
    <w:p w14:paraId="06C42BDA" w14:textId="77777777" w:rsidR="008572B1" w:rsidRPr="00580896" w:rsidRDefault="008572B1" w:rsidP="00580896">
      <w:pPr>
        <w:numPr>
          <w:ilvl w:val="0"/>
          <w:numId w:val="33"/>
        </w:numPr>
        <w:spacing w:after="0" w:line="240" w:lineRule="auto"/>
        <w:jc w:val="both"/>
        <w:rPr>
          <w:rFonts w:ascii="Aptos" w:hAnsi="Aptos"/>
        </w:rPr>
      </w:pPr>
      <w:r w:rsidRPr="00580896">
        <w:rPr>
          <w:rFonts w:ascii="Aptos" w:hAnsi="Aptos"/>
        </w:rPr>
        <w:t>Incremento de los costos de financiamiento.</w:t>
      </w:r>
    </w:p>
    <w:p w14:paraId="2ED2EE3D" w14:textId="77777777" w:rsidR="008572B1" w:rsidRPr="00580896" w:rsidRDefault="008572B1" w:rsidP="00580896">
      <w:pPr>
        <w:numPr>
          <w:ilvl w:val="0"/>
          <w:numId w:val="33"/>
        </w:numPr>
        <w:spacing w:after="0" w:line="240" w:lineRule="auto"/>
        <w:jc w:val="both"/>
        <w:rPr>
          <w:rFonts w:ascii="Aptos" w:hAnsi="Aptos"/>
        </w:rPr>
      </w:pPr>
      <w:r w:rsidRPr="00580896">
        <w:rPr>
          <w:rFonts w:ascii="Aptos" w:hAnsi="Aptos"/>
        </w:rPr>
        <w:t>Presiones inflacionarias.</w:t>
      </w:r>
    </w:p>
    <w:p w14:paraId="6D0A5BCB" w14:textId="77777777" w:rsidR="008572B1" w:rsidRPr="00580896" w:rsidRDefault="008572B1" w:rsidP="00580896">
      <w:pPr>
        <w:numPr>
          <w:ilvl w:val="0"/>
          <w:numId w:val="33"/>
        </w:numPr>
        <w:spacing w:after="0" w:line="240" w:lineRule="auto"/>
        <w:jc w:val="both"/>
        <w:rPr>
          <w:rFonts w:ascii="Aptos" w:hAnsi="Aptos"/>
        </w:rPr>
      </w:pPr>
      <w:r w:rsidRPr="00580896">
        <w:rPr>
          <w:rFonts w:ascii="Aptos" w:hAnsi="Aptos"/>
        </w:rPr>
        <w:t>Incertidumbre geopolítica.</w:t>
      </w:r>
    </w:p>
    <w:p w14:paraId="41707F72" w14:textId="77777777" w:rsidR="008572B1" w:rsidRPr="00580896" w:rsidRDefault="008572B1" w:rsidP="00580896">
      <w:pPr>
        <w:numPr>
          <w:ilvl w:val="0"/>
          <w:numId w:val="33"/>
        </w:numPr>
        <w:spacing w:after="0" w:line="240" w:lineRule="auto"/>
        <w:jc w:val="both"/>
        <w:rPr>
          <w:rFonts w:ascii="Aptos" w:hAnsi="Aptos"/>
        </w:rPr>
      </w:pPr>
      <w:r w:rsidRPr="00580896">
        <w:rPr>
          <w:rFonts w:ascii="Aptos" w:hAnsi="Aptos"/>
        </w:rPr>
        <w:t>Retrasos en infraestructura energética.</w:t>
      </w:r>
    </w:p>
    <w:p w14:paraId="13D60645" w14:textId="77777777" w:rsidR="008572B1" w:rsidRPr="00580896" w:rsidRDefault="008572B1" w:rsidP="00580896">
      <w:pPr>
        <w:numPr>
          <w:ilvl w:val="0"/>
          <w:numId w:val="33"/>
        </w:numPr>
        <w:spacing w:after="0" w:line="240" w:lineRule="auto"/>
        <w:jc w:val="both"/>
        <w:rPr>
          <w:rFonts w:ascii="Aptos" w:hAnsi="Aptos"/>
        </w:rPr>
      </w:pPr>
      <w:r w:rsidRPr="00580896">
        <w:rPr>
          <w:rFonts w:ascii="Aptos" w:hAnsi="Aptos"/>
        </w:rPr>
        <w:t>Restricciones en cadenas de suministro.</w:t>
      </w:r>
    </w:p>
    <w:p w14:paraId="2B4B0CD9" w14:textId="77777777" w:rsidR="00ED1F08" w:rsidRDefault="00ED1F08" w:rsidP="00580896">
      <w:pPr>
        <w:pStyle w:val="p4"/>
        <w:spacing w:before="0" w:beforeAutospacing="0" w:after="0" w:afterAutospacing="0"/>
        <w:jc w:val="both"/>
        <w:rPr>
          <w:rFonts w:ascii="Aptos" w:hAnsi="Aptos"/>
        </w:rPr>
      </w:pPr>
    </w:p>
    <w:p w14:paraId="14BB2DFB" w14:textId="3CD750FF" w:rsidR="008572B1" w:rsidRDefault="008572B1" w:rsidP="00580896">
      <w:pPr>
        <w:pStyle w:val="p4"/>
        <w:spacing w:before="0" w:beforeAutospacing="0" w:after="0" w:afterAutospacing="0"/>
        <w:jc w:val="both"/>
        <w:rPr>
          <w:rFonts w:ascii="Aptos" w:hAnsi="Aptos"/>
        </w:rPr>
      </w:pPr>
      <w:r w:rsidRPr="00580896">
        <w:rPr>
          <w:rFonts w:ascii="Aptos" w:hAnsi="Aptos"/>
        </w:rPr>
        <w:t>En este contexto, la reducción observada en el indicador de preparación para la transición energética de Colombia se alinea con una tendencia internacional más amplia, aunque evidencia la necesidad de fortalecer la capacidad del país para responder a estos desafíos.</w:t>
      </w:r>
    </w:p>
    <w:p w14:paraId="0BC0BF50" w14:textId="77777777" w:rsidR="00ED1F08" w:rsidRDefault="00ED1F08" w:rsidP="00580896">
      <w:pPr>
        <w:pStyle w:val="p4"/>
        <w:spacing w:before="0" w:beforeAutospacing="0" w:after="0" w:afterAutospacing="0"/>
        <w:jc w:val="both"/>
        <w:rPr>
          <w:rFonts w:ascii="Aptos" w:hAnsi="Aptos"/>
        </w:rPr>
      </w:pPr>
    </w:p>
    <w:p w14:paraId="61CFF686" w14:textId="11B55AEF" w:rsidR="008572B1" w:rsidRPr="00580896" w:rsidRDefault="00ED1F08" w:rsidP="00580896">
      <w:pPr>
        <w:pStyle w:val="p1"/>
        <w:spacing w:before="0" w:beforeAutospacing="0" w:after="0" w:afterAutospacing="0"/>
        <w:jc w:val="both"/>
        <w:rPr>
          <w:rFonts w:ascii="Aptos" w:hAnsi="Aptos"/>
        </w:rPr>
      </w:pPr>
      <w:r>
        <w:rPr>
          <w:rFonts w:ascii="Aptos" w:hAnsi="Aptos"/>
        </w:rPr>
        <w:t>L</w:t>
      </w:r>
      <w:r w:rsidR="008572B1" w:rsidRPr="00580896">
        <w:rPr>
          <w:rFonts w:ascii="Aptos" w:hAnsi="Aptos"/>
        </w:rPr>
        <w:t>a principal señal derivada del ETI no corresponde a un deterioro del sistema energético colombiano, sino a la necesidad de fortalecer los mecanismos que permitan sostener y acelerar la transición energética en el largo plazo.</w:t>
      </w:r>
    </w:p>
    <w:p w14:paraId="109A7552" w14:textId="77777777" w:rsidR="00ED1F08" w:rsidRDefault="00ED1F08" w:rsidP="00580896">
      <w:pPr>
        <w:pStyle w:val="Ttulo1"/>
        <w:spacing w:before="0" w:after="0"/>
        <w:jc w:val="both"/>
        <w:rPr>
          <w:rStyle w:val="s1"/>
          <w:rFonts w:ascii="Aptos" w:hAnsi="Aptos"/>
          <w:sz w:val="24"/>
          <w:szCs w:val="24"/>
        </w:rPr>
      </w:pPr>
    </w:p>
    <w:p w14:paraId="5AFC9DDF" w14:textId="0E3E03D1" w:rsidR="008572B1" w:rsidRPr="00ED1F08" w:rsidRDefault="008572B1" w:rsidP="00ED1F08">
      <w:pPr>
        <w:pStyle w:val="Ttulo2"/>
        <w:numPr>
          <w:ilvl w:val="0"/>
          <w:numId w:val="39"/>
        </w:numPr>
        <w:spacing w:before="0"/>
        <w:jc w:val="both"/>
        <w:rPr>
          <w:rStyle w:val="s1"/>
          <w:b/>
          <w:bCs/>
          <w:color w:val="auto"/>
        </w:rPr>
      </w:pPr>
      <w:r w:rsidRPr="00ED1F08">
        <w:rPr>
          <w:rStyle w:val="s1"/>
          <w:rFonts w:ascii="Aptos" w:hAnsi="Aptos"/>
          <w:b/>
          <w:bCs/>
          <w:color w:val="auto"/>
          <w:sz w:val="24"/>
          <w:szCs w:val="24"/>
        </w:rPr>
        <w:t>Análisis integrado de la evolución de Colombia en el ETI (201</w:t>
      </w:r>
      <w:r w:rsidR="00ED1F08">
        <w:rPr>
          <w:rStyle w:val="s1"/>
          <w:rFonts w:ascii="Aptos" w:hAnsi="Aptos"/>
          <w:b/>
          <w:bCs/>
          <w:color w:val="auto"/>
          <w:sz w:val="24"/>
          <w:szCs w:val="24"/>
        </w:rPr>
        <w:t>9</w:t>
      </w:r>
      <w:r w:rsidRPr="00ED1F08">
        <w:rPr>
          <w:rStyle w:val="s1"/>
          <w:rFonts w:ascii="Aptos" w:hAnsi="Aptos"/>
          <w:b/>
          <w:bCs/>
          <w:color w:val="auto"/>
          <w:sz w:val="24"/>
          <w:szCs w:val="24"/>
        </w:rPr>
        <w:t>-2026)</w:t>
      </w:r>
    </w:p>
    <w:p w14:paraId="07739074" w14:textId="77777777" w:rsidR="00ED1F08" w:rsidRDefault="00ED1F08" w:rsidP="00580896">
      <w:pPr>
        <w:pStyle w:val="p2"/>
        <w:spacing w:before="0" w:beforeAutospacing="0" w:after="0" w:afterAutospacing="0"/>
        <w:jc w:val="both"/>
        <w:rPr>
          <w:rFonts w:ascii="Aptos" w:hAnsi="Aptos"/>
        </w:rPr>
      </w:pPr>
    </w:p>
    <w:p w14:paraId="6C5A4D08" w14:textId="77777777" w:rsidR="00ED1F08" w:rsidRPr="00580896" w:rsidRDefault="00ED1F08" w:rsidP="00ED1F08">
      <w:pPr>
        <w:pStyle w:val="p2"/>
        <w:spacing w:before="0" w:beforeAutospacing="0" w:after="0" w:afterAutospacing="0"/>
        <w:jc w:val="both"/>
        <w:rPr>
          <w:rFonts w:ascii="Aptos" w:hAnsi="Aptos"/>
        </w:rPr>
      </w:pPr>
      <w:r w:rsidRPr="00580896">
        <w:rPr>
          <w:rFonts w:ascii="Aptos" w:hAnsi="Aptos"/>
        </w:rPr>
        <w:t xml:space="preserve">La evolución de Colombia en el Energy </w:t>
      </w:r>
      <w:proofErr w:type="spellStart"/>
      <w:r w:rsidRPr="00580896">
        <w:rPr>
          <w:rFonts w:ascii="Aptos" w:hAnsi="Aptos"/>
        </w:rPr>
        <w:t>Transition</w:t>
      </w:r>
      <w:proofErr w:type="spellEnd"/>
      <w:r w:rsidRPr="00580896">
        <w:rPr>
          <w:rFonts w:ascii="Aptos" w:hAnsi="Aptos"/>
        </w:rPr>
        <w:t xml:space="preserve"> </w:t>
      </w:r>
      <w:proofErr w:type="spellStart"/>
      <w:r w:rsidRPr="00580896">
        <w:rPr>
          <w:rFonts w:ascii="Aptos" w:hAnsi="Aptos"/>
        </w:rPr>
        <w:t>Index</w:t>
      </w:r>
      <w:proofErr w:type="spellEnd"/>
      <w:r w:rsidRPr="00580896">
        <w:rPr>
          <w:rFonts w:ascii="Aptos" w:hAnsi="Aptos"/>
        </w:rPr>
        <w:t xml:space="preserve"> entre 2018 y 2026 muestra un país que ha logrado consolidar un sistema energético con resultados favorables en términos de seguridad, equidad y sostenibilidad, apoyado en fortalezas estructurales desarrolladas durante varias décadas y reforzado por avances recientes en materia de energía limpia.</w:t>
      </w:r>
    </w:p>
    <w:p w14:paraId="39D333A2" w14:textId="77777777" w:rsidR="00ED1F08" w:rsidRDefault="00ED1F08" w:rsidP="00580896">
      <w:pPr>
        <w:pStyle w:val="p2"/>
        <w:spacing w:before="0" w:beforeAutospacing="0" w:after="0" w:afterAutospacing="0"/>
        <w:jc w:val="both"/>
        <w:rPr>
          <w:rFonts w:ascii="Aptos" w:hAnsi="Aptos"/>
        </w:rPr>
      </w:pPr>
    </w:p>
    <w:p w14:paraId="6F53F356" w14:textId="5F4A20A5" w:rsidR="008572B1" w:rsidRPr="00580896" w:rsidRDefault="008572B1" w:rsidP="00580896">
      <w:pPr>
        <w:pStyle w:val="p2"/>
        <w:spacing w:before="0" w:beforeAutospacing="0" w:after="0" w:afterAutospacing="0"/>
        <w:jc w:val="both"/>
        <w:rPr>
          <w:rFonts w:ascii="Aptos" w:hAnsi="Aptos"/>
        </w:rPr>
      </w:pPr>
      <w:r w:rsidRPr="00580896">
        <w:rPr>
          <w:rFonts w:ascii="Aptos" w:hAnsi="Aptos"/>
        </w:rPr>
        <w:t>Si bien el país ha logrado mantener una posición relativamente favorable dentro de América Latina y por encima de los promedios observados en numerosas economías emergentes, los resultados muestran que los factores que explican el buen desempeño actual no necesariamente coinciden con aquellos que determinarán la capacidad futura para acelerar la transición energética.</w:t>
      </w:r>
    </w:p>
    <w:p w14:paraId="41E48E17" w14:textId="77777777" w:rsidR="00ED1F08" w:rsidRDefault="00ED1F08" w:rsidP="00580896">
      <w:pPr>
        <w:pStyle w:val="Ttulo2"/>
        <w:spacing w:before="0"/>
        <w:jc w:val="both"/>
        <w:rPr>
          <w:rStyle w:val="s1"/>
          <w:rFonts w:ascii="Aptos" w:hAnsi="Aptos"/>
          <w:sz w:val="24"/>
          <w:szCs w:val="24"/>
        </w:rPr>
      </w:pPr>
    </w:p>
    <w:p w14:paraId="583647CF" w14:textId="21BFA256" w:rsidR="009422BC" w:rsidRPr="00580896" w:rsidRDefault="00ED1F08" w:rsidP="00580896">
      <w:pPr>
        <w:pStyle w:val="p2"/>
        <w:spacing w:before="0" w:beforeAutospacing="0" w:after="0" w:afterAutospacing="0"/>
        <w:jc w:val="both"/>
        <w:rPr>
          <w:rFonts w:ascii="Aptos" w:hAnsi="Aptos"/>
        </w:rPr>
      </w:pPr>
      <w:r>
        <w:rPr>
          <w:rFonts w:ascii="Aptos" w:hAnsi="Aptos"/>
        </w:rPr>
        <w:t>E</w:t>
      </w:r>
      <w:r w:rsidR="00580896" w:rsidRPr="00580896">
        <w:rPr>
          <w:rFonts w:ascii="Aptos" w:hAnsi="Aptos"/>
        </w:rPr>
        <w:t>l principal desafío hacia adelante consiste en fortalecer los factores habilitantes que permitan sostener y acelerar la transición energética. En este sentido, la prioridad estratégica no radica únicamente en preservar los resultados actuales del sistema energético, sino en consolidar las capacidades institucionales, financieras, tecnológicas y de infraestructura que permitan transformar las ventajas existentes en una trayectoria sostenible de desarrollo energético para las próximas décadas.</w:t>
      </w:r>
    </w:p>
    <w:p w14:paraId="41ED99FB" w14:textId="77777777" w:rsidR="008572B1" w:rsidRPr="00580896" w:rsidRDefault="008572B1" w:rsidP="00580896">
      <w:pPr>
        <w:pStyle w:val="p1"/>
        <w:spacing w:before="0" w:beforeAutospacing="0" w:after="0" w:afterAutospacing="0"/>
        <w:jc w:val="both"/>
        <w:rPr>
          <w:rFonts w:ascii="Aptos" w:hAnsi="Aptos"/>
        </w:rPr>
      </w:pPr>
    </w:p>
    <w:p w14:paraId="42CFDEAD" w14:textId="77777777" w:rsidR="008572B1" w:rsidRDefault="008572B1" w:rsidP="6B2A584D">
      <w:pPr>
        <w:keepNext/>
        <w:keepLines/>
        <w:spacing w:after="0"/>
        <w:jc w:val="both"/>
        <w:rPr>
          <w:lang w:val="es-CO"/>
        </w:rPr>
      </w:pPr>
    </w:p>
    <w:sectPr w:rsidR="008572B1">
      <w:headerReference w:type="default" r:id="rId10"/>
      <w:foot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01A3F" w14:textId="77777777" w:rsidR="00494021" w:rsidRDefault="00494021">
      <w:pPr>
        <w:spacing w:after="0" w:line="240" w:lineRule="auto"/>
      </w:pPr>
      <w:r>
        <w:separator/>
      </w:r>
    </w:p>
  </w:endnote>
  <w:endnote w:type="continuationSeparator" w:id="0">
    <w:p w14:paraId="6AE0E161" w14:textId="77777777" w:rsidR="00494021" w:rsidRDefault="00494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53308" w14:textId="5CC988A1" w:rsidR="38D067BE" w:rsidRDefault="38D067BE" w:rsidP="38D067BE">
    <w:pPr>
      <w:pStyle w:val="Piedepgina"/>
      <w:jc w:val="right"/>
      <w:rPr>
        <w:i/>
        <w:iCs/>
        <w:color w:val="808080" w:themeColor="background1" w:themeShade="80"/>
        <w:sz w:val="16"/>
        <w:szCs w:val="16"/>
      </w:rPr>
    </w:pPr>
    <w:r w:rsidRPr="38D067BE">
      <w:rPr>
        <w:i/>
        <w:iCs/>
        <w:color w:val="808080" w:themeColor="background1" w:themeShade="80"/>
        <w:sz w:val="18"/>
        <w:szCs w:val="18"/>
      </w:rPr>
      <w:t>Grupo de Gestión del Sector Eléctrico Colombiano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ADC7D" w14:textId="77777777" w:rsidR="00494021" w:rsidRDefault="00494021">
      <w:pPr>
        <w:spacing w:after="0" w:line="240" w:lineRule="auto"/>
      </w:pPr>
      <w:r>
        <w:separator/>
      </w:r>
    </w:p>
  </w:footnote>
  <w:footnote w:type="continuationSeparator" w:id="0">
    <w:p w14:paraId="5CC56840" w14:textId="77777777" w:rsidR="00494021" w:rsidRDefault="004940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B7EE6" w14:textId="2A196E46" w:rsidR="6B2A584D" w:rsidRDefault="6B2A584D" w:rsidP="6B2A584D">
    <w:pPr>
      <w:pStyle w:val="Encabezado"/>
      <w:jc w:val="center"/>
    </w:pPr>
    <w:r>
      <w:rPr>
        <w:noProof/>
      </w:rPr>
      <w:drawing>
        <wp:anchor distT="0" distB="0" distL="114300" distR="114300" simplePos="0" relativeHeight="251658240" behindDoc="0" locked="0" layoutInCell="1" allowOverlap="1" wp14:anchorId="3A2CDDDE" wp14:editId="368CD79F">
          <wp:simplePos x="0" y="0"/>
          <wp:positionH relativeFrom="column">
            <wp:posOffset>2486025</wp:posOffset>
          </wp:positionH>
          <wp:positionV relativeFrom="paragraph">
            <wp:posOffset>-171450</wp:posOffset>
          </wp:positionV>
          <wp:extent cx="723900" cy="628650"/>
          <wp:effectExtent l="0" t="0" r="0" b="0"/>
          <wp:wrapNone/>
          <wp:docPr id="167530180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301801" name="Picture 1675301801"/>
                  <pic:cNvPicPr/>
                </pic:nvPicPr>
                <pic:blipFill>
                  <a:blip r:embed="rId1">
                    <a:extLst>
                      <a:ext uri="{28A0092B-C50C-407E-A947-70E740481C1C}">
                        <a14:useLocalDpi xmlns:a14="http://schemas.microsoft.com/office/drawing/2010/main"/>
                      </a:ext>
                    </a:extLst>
                  </a:blip>
                  <a:stretch>
                    <a:fillRect/>
                  </a:stretch>
                </pic:blipFill>
                <pic:spPr>
                  <a:xfrm>
                    <a:off x="0" y="0"/>
                    <a:ext cx="723900" cy="628650"/>
                  </a:xfrm>
                  <a:prstGeom prst="rect">
                    <a:avLst/>
                  </a:prstGeom>
                </pic:spPr>
              </pic:pic>
            </a:graphicData>
          </a:graphic>
          <wp14:sizeRelH relativeFrom="page">
            <wp14:pctWidth>0</wp14:pctWidth>
          </wp14:sizeRelH>
          <wp14:sizeRelV relativeFrom="page">
            <wp14:pctHeight>0</wp14:pctHeight>
          </wp14:sizeRelV>
        </wp:anchor>
      </w:drawing>
    </w:r>
  </w:p>
  <w:p w14:paraId="45E08D83" w14:textId="193F2EDB" w:rsidR="38D067BE" w:rsidRDefault="38D067BE" w:rsidP="38D067BE">
    <w:pPr>
      <w:pStyle w:val="Encabezado"/>
      <w:jc w:val="center"/>
    </w:pPr>
  </w:p>
  <w:p w14:paraId="413EC04D" w14:textId="7186C7FF" w:rsidR="38D067BE" w:rsidRDefault="38D067BE" w:rsidP="38D067BE">
    <w:pPr>
      <w:pStyle w:val="Encabezado"/>
      <w:jc w:val="center"/>
    </w:pPr>
  </w:p>
  <w:p w14:paraId="6A531C7B" w14:textId="77777777" w:rsidR="0048610E" w:rsidRDefault="0048610E" w:rsidP="38D067BE">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7D23"/>
    <w:multiLevelType w:val="multilevel"/>
    <w:tmpl w:val="D31C8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861F7"/>
    <w:multiLevelType w:val="multilevel"/>
    <w:tmpl w:val="3DB48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346C7C"/>
    <w:multiLevelType w:val="multilevel"/>
    <w:tmpl w:val="3C0E3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EE19D1"/>
    <w:multiLevelType w:val="multilevel"/>
    <w:tmpl w:val="241A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650FD7"/>
    <w:multiLevelType w:val="multilevel"/>
    <w:tmpl w:val="B33EC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5C39B4"/>
    <w:multiLevelType w:val="multilevel"/>
    <w:tmpl w:val="BC049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D41DB2"/>
    <w:multiLevelType w:val="multilevel"/>
    <w:tmpl w:val="E026C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EB7C0B"/>
    <w:multiLevelType w:val="multilevel"/>
    <w:tmpl w:val="FFE22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AFFA5C"/>
    <w:multiLevelType w:val="multilevel"/>
    <w:tmpl w:val="B4F0C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AF3289"/>
    <w:multiLevelType w:val="multilevel"/>
    <w:tmpl w:val="C43CC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4E0E35"/>
    <w:multiLevelType w:val="multilevel"/>
    <w:tmpl w:val="6D725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235499"/>
    <w:multiLevelType w:val="hybridMultilevel"/>
    <w:tmpl w:val="62A0F3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C184D9E"/>
    <w:multiLevelType w:val="multilevel"/>
    <w:tmpl w:val="E9029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347E3B"/>
    <w:multiLevelType w:val="multilevel"/>
    <w:tmpl w:val="CC103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425CF9"/>
    <w:multiLevelType w:val="multilevel"/>
    <w:tmpl w:val="03704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4476E5"/>
    <w:multiLevelType w:val="multilevel"/>
    <w:tmpl w:val="DEE2F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AD0EC1"/>
    <w:multiLevelType w:val="multilevel"/>
    <w:tmpl w:val="6E1A5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6B33EB"/>
    <w:multiLevelType w:val="multilevel"/>
    <w:tmpl w:val="00562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0B0BFC"/>
    <w:multiLevelType w:val="hybridMultilevel"/>
    <w:tmpl w:val="B32C431C"/>
    <w:lvl w:ilvl="0" w:tplc="FD228FFE">
      <w:start w:val="1"/>
      <w:numFmt w:val="bullet"/>
      <w:lvlText w:val=""/>
      <w:lvlJc w:val="left"/>
      <w:pPr>
        <w:ind w:left="720" w:hanging="360"/>
      </w:pPr>
      <w:rPr>
        <w:rFonts w:ascii="Symbol" w:hAnsi="Symbol" w:hint="default"/>
      </w:rPr>
    </w:lvl>
    <w:lvl w:ilvl="1" w:tplc="A7DAEFD8">
      <w:start w:val="1"/>
      <w:numFmt w:val="bullet"/>
      <w:lvlText w:val="o"/>
      <w:lvlJc w:val="left"/>
      <w:pPr>
        <w:ind w:left="1440" w:hanging="360"/>
      </w:pPr>
      <w:rPr>
        <w:rFonts w:ascii="Courier New" w:hAnsi="Courier New" w:hint="default"/>
      </w:rPr>
    </w:lvl>
    <w:lvl w:ilvl="2" w:tplc="B9F09C06">
      <w:start w:val="1"/>
      <w:numFmt w:val="bullet"/>
      <w:lvlText w:val=""/>
      <w:lvlJc w:val="left"/>
      <w:pPr>
        <w:ind w:left="2160" w:hanging="360"/>
      </w:pPr>
      <w:rPr>
        <w:rFonts w:ascii="Wingdings" w:hAnsi="Wingdings" w:hint="default"/>
      </w:rPr>
    </w:lvl>
    <w:lvl w:ilvl="3" w:tplc="0D00FF54">
      <w:start w:val="1"/>
      <w:numFmt w:val="bullet"/>
      <w:lvlText w:val=""/>
      <w:lvlJc w:val="left"/>
      <w:pPr>
        <w:ind w:left="2880" w:hanging="360"/>
      </w:pPr>
      <w:rPr>
        <w:rFonts w:ascii="Symbol" w:hAnsi="Symbol" w:hint="default"/>
      </w:rPr>
    </w:lvl>
    <w:lvl w:ilvl="4" w:tplc="D0E219C4">
      <w:start w:val="1"/>
      <w:numFmt w:val="bullet"/>
      <w:lvlText w:val="o"/>
      <w:lvlJc w:val="left"/>
      <w:pPr>
        <w:ind w:left="3600" w:hanging="360"/>
      </w:pPr>
      <w:rPr>
        <w:rFonts w:ascii="Courier New" w:hAnsi="Courier New" w:hint="default"/>
      </w:rPr>
    </w:lvl>
    <w:lvl w:ilvl="5" w:tplc="F356E22C">
      <w:start w:val="1"/>
      <w:numFmt w:val="bullet"/>
      <w:lvlText w:val=""/>
      <w:lvlJc w:val="left"/>
      <w:pPr>
        <w:ind w:left="4320" w:hanging="360"/>
      </w:pPr>
      <w:rPr>
        <w:rFonts w:ascii="Wingdings" w:hAnsi="Wingdings" w:hint="default"/>
      </w:rPr>
    </w:lvl>
    <w:lvl w:ilvl="6" w:tplc="452406AC">
      <w:start w:val="1"/>
      <w:numFmt w:val="bullet"/>
      <w:lvlText w:val=""/>
      <w:lvlJc w:val="left"/>
      <w:pPr>
        <w:ind w:left="5040" w:hanging="360"/>
      </w:pPr>
      <w:rPr>
        <w:rFonts w:ascii="Symbol" w:hAnsi="Symbol" w:hint="default"/>
      </w:rPr>
    </w:lvl>
    <w:lvl w:ilvl="7" w:tplc="77160510">
      <w:start w:val="1"/>
      <w:numFmt w:val="bullet"/>
      <w:lvlText w:val="o"/>
      <w:lvlJc w:val="left"/>
      <w:pPr>
        <w:ind w:left="5760" w:hanging="360"/>
      </w:pPr>
      <w:rPr>
        <w:rFonts w:ascii="Courier New" w:hAnsi="Courier New" w:hint="default"/>
      </w:rPr>
    </w:lvl>
    <w:lvl w:ilvl="8" w:tplc="B3B2421E">
      <w:start w:val="1"/>
      <w:numFmt w:val="bullet"/>
      <w:lvlText w:val=""/>
      <w:lvlJc w:val="left"/>
      <w:pPr>
        <w:ind w:left="6480" w:hanging="360"/>
      </w:pPr>
      <w:rPr>
        <w:rFonts w:ascii="Wingdings" w:hAnsi="Wingdings" w:hint="default"/>
      </w:rPr>
    </w:lvl>
  </w:abstractNum>
  <w:abstractNum w:abstractNumId="19" w15:restartNumberingAfterBreak="0">
    <w:nsid w:val="3B781FBB"/>
    <w:multiLevelType w:val="hybridMultilevel"/>
    <w:tmpl w:val="FB28EFB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40EB3460"/>
    <w:multiLevelType w:val="multilevel"/>
    <w:tmpl w:val="EAD6B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B819BA"/>
    <w:multiLevelType w:val="multilevel"/>
    <w:tmpl w:val="36BAE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D433F9"/>
    <w:multiLevelType w:val="multilevel"/>
    <w:tmpl w:val="41641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EC1971"/>
    <w:multiLevelType w:val="hybridMultilevel"/>
    <w:tmpl w:val="56BA7B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B745FAB"/>
    <w:multiLevelType w:val="hybridMultilevel"/>
    <w:tmpl w:val="E2403FEE"/>
    <w:lvl w:ilvl="0" w:tplc="14382862">
      <w:start w:val="1"/>
      <w:numFmt w:val="decimal"/>
      <w:lvlText w:val="%1."/>
      <w:lvlJc w:val="left"/>
      <w:pPr>
        <w:ind w:left="720" w:hanging="360"/>
      </w:pPr>
      <w:rPr>
        <w:rFonts w:hint="default"/>
        <w:sz w:val="24"/>
        <w:szCs w:val="24"/>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C495FE3"/>
    <w:multiLevelType w:val="multilevel"/>
    <w:tmpl w:val="C60C5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68739A"/>
    <w:multiLevelType w:val="multilevel"/>
    <w:tmpl w:val="52A87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BAE0E2"/>
    <w:multiLevelType w:val="hybridMultilevel"/>
    <w:tmpl w:val="205EFAD6"/>
    <w:lvl w:ilvl="0" w:tplc="9F564032">
      <w:start w:val="1"/>
      <w:numFmt w:val="bullet"/>
      <w:lvlText w:val=""/>
      <w:lvlJc w:val="left"/>
      <w:pPr>
        <w:ind w:left="720" w:hanging="360"/>
      </w:pPr>
      <w:rPr>
        <w:rFonts w:ascii="Symbol" w:hAnsi="Symbol" w:hint="default"/>
      </w:rPr>
    </w:lvl>
    <w:lvl w:ilvl="1" w:tplc="1D4E954A">
      <w:start w:val="1"/>
      <w:numFmt w:val="bullet"/>
      <w:lvlText w:val="o"/>
      <w:lvlJc w:val="left"/>
      <w:pPr>
        <w:ind w:left="1440" w:hanging="360"/>
      </w:pPr>
      <w:rPr>
        <w:rFonts w:ascii="Courier New" w:hAnsi="Courier New" w:hint="default"/>
      </w:rPr>
    </w:lvl>
    <w:lvl w:ilvl="2" w:tplc="DFBE0702">
      <w:start w:val="1"/>
      <w:numFmt w:val="bullet"/>
      <w:lvlText w:val=""/>
      <w:lvlJc w:val="left"/>
      <w:pPr>
        <w:ind w:left="2160" w:hanging="360"/>
      </w:pPr>
      <w:rPr>
        <w:rFonts w:ascii="Wingdings" w:hAnsi="Wingdings" w:hint="default"/>
      </w:rPr>
    </w:lvl>
    <w:lvl w:ilvl="3" w:tplc="3CAABEA0">
      <w:start w:val="1"/>
      <w:numFmt w:val="bullet"/>
      <w:lvlText w:val=""/>
      <w:lvlJc w:val="left"/>
      <w:pPr>
        <w:ind w:left="2880" w:hanging="360"/>
      </w:pPr>
      <w:rPr>
        <w:rFonts w:ascii="Symbol" w:hAnsi="Symbol" w:hint="default"/>
      </w:rPr>
    </w:lvl>
    <w:lvl w:ilvl="4" w:tplc="AAC00B62">
      <w:start w:val="1"/>
      <w:numFmt w:val="bullet"/>
      <w:lvlText w:val="o"/>
      <w:lvlJc w:val="left"/>
      <w:pPr>
        <w:ind w:left="3600" w:hanging="360"/>
      </w:pPr>
      <w:rPr>
        <w:rFonts w:ascii="Courier New" w:hAnsi="Courier New" w:hint="default"/>
      </w:rPr>
    </w:lvl>
    <w:lvl w:ilvl="5" w:tplc="F018818A">
      <w:start w:val="1"/>
      <w:numFmt w:val="bullet"/>
      <w:lvlText w:val=""/>
      <w:lvlJc w:val="left"/>
      <w:pPr>
        <w:ind w:left="4320" w:hanging="360"/>
      </w:pPr>
      <w:rPr>
        <w:rFonts w:ascii="Wingdings" w:hAnsi="Wingdings" w:hint="default"/>
      </w:rPr>
    </w:lvl>
    <w:lvl w:ilvl="6" w:tplc="2E40B7A8">
      <w:start w:val="1"/>
      <w:numFmt w:val="bullet"/>
      <w:lvlText w:val=""/>
      <w:lvlJc w:val="left"/>
      <w:pPr>
        <w:ind w:left="5040" w:hanging="360"/>
      </w:pPr>
      <w:rPr>
        <w:rFonts w:ascii="Symbol" w:hAnsi="Symbol" w:hint="default"/>
      </w:rPr>
    </w:lvl>
    <w:lvl w:ilvl="7" w:tplc="22FEABE4">
      <w:start w:val="1"/>
      <w:numFmt w:val="bullet"/>
      <w:lvlText w:val="o"/>
      <w:lvlJc w:val="left"/>
      <w:pPr>
        <w:ind w:left="5760" w:hanging="360"/>
      </w:pPr>
      <w:rPr>
        <w:rFonts w:ascii="Courier New" w:hAnsi="Courier New" w:hint="default"/>
      </w:rPr>
    </w:lvl>
    <w:lvl w:ilvl="8" w:tplc="DA860962">
      <w:start w:val="1"/>
      <w:numFmt w:val="bullet"/>
      <w:lvlText w:val=""/>
      <w:lvlJc w:val="left"/>
      <w:pPr>
        <w:ind w:left="6480" w:hanging="360"/>
      </w:pPr>
      <w:rPr>
        <w:rFonts w:ascii="Wingdings" w:hAnsi="Wingdings" w:hint="default"/>
      </w:rPr>
    </w:lvl>
  </w:abstractNum>
  <w:abstractNum w:abstractNumId="28" w15:restartNumberingAfterBreak="0">
    <w:nsid w:val="59DFC805"/>
    <w:multiLevelType w:val="hybridMultilevel"/>
    <w:tmpl w:val="E926E1F2"/>
    <w:lvl w:ilvl="0" w:tplc="B2D044BC">
      <w:start w:val="1"/>
      <w:numFmt w:val="decimal"/>
      <w:lvlText w:val="%1."/>
      <w:lvlJc w:val="left"/>
      <w:pPr>
        <w:ind w:left="720" w:hanging="360"/>
      </w:pPr>
    </w:lvl>
    <w:lvl w:ilvl="1" w:tplc="4CACE500">
      <w:start w:val="1"/>
      <w:numFmt w:val="lowerLetter"/>
      <w:lvlText w:val="%2."/>
      <w:lvlJc w:val="left"/>
      <w:pPr>
        <w:ind w:left="1440" w:hanging="360"/>
      </w:pPr>
    </w:lvl>
    <w:lvl w:ilvl="2" w:tplc="B61036AE">
      <w:start w:val="1"/>
      <w:numFmt w:val="lowerRoman"/>
      <w:lvlText w:val="%3."/>
      <w:lvlJc w:val="right"/>
      <w:pPr>
        <w:ind w:left="2160" w:hanging="180"/>
      </w:pPr>
    </w:lvl>
    <w:lvl w:ilvl="3" w:tplc="113CAF7E">
      <w:start w:val="1"/>
      <w:numFmt w:val="decimal"/>
      <w:lvlText w:val="%4."/>
      <w:lvlJc w:val="left"/>
      <w:pPr>
        <w:ind w:left="2880" w:hanging="360"/>
      </w:pPr>
    </w:lvl>
    <w:lvl w:ilvl="4" w:tplc="0CFEAD52">
      <w:start w:val="1"/>
      <w:numFmt w:val="lowerLetter"/>
      <w:lvlText w:val="%5."/>
      <w:lvlJc w:val="left"/>
      <w:pPr>
        <w:ind w:left="3600" w:hanging="360"/>
      </w:pPr>
    </w:lvl>
    <w:lvl w:ilvl="5" w:tplc="C9623490">
      <w:start w:val="1"/>
      <w:numFmt w:val="lowerRoman"/>
      <w:lvlText w:val="%6."/>
      <w:lvlJc w:val="right"/>
      <w:pPr>
        <w:ind w:left="4320" w:hanging="180"/>
      </w:pPr>
    </w:lvl>
    <w:lvl w:ilvl="6" w:tplc="F8CE8398">
      <w:start w:val="1"/>
      <w:numFmt w:val="decimal"/>
      <w:lvlText w:val="%7."/>
      <w:lvlJc w:val="left"/>
      <w:pPr>
        <w:ind w:left="5040" w:hanging="360"/>
      </w:pPr>
    </w:lvl>
    <w:lvl w:ilvl="7" w:tplc="E98C45A4">
      <w:start w:val="1"/>
      <w:numFmt w:val="lowerLetter"/>
      <w:lvlText w:val="%8."/>
      <w:lvlJc w:val="left"/>
      <w:pPr>
        <w:ind w:left="5760" w:hanging="360"/>
      </w:pPr>
    </w:lvl>
    <w:lvl w:ilvl="8" w:tplc="3816296E">
      <w:start w:val="1"/>
      <w:numFmt w:val="lowerRoman"/>
      <w:lvlText w:val="%9."/>
      <w:lvlJc w:val="right"/>
      <w:pPr>
        <w:ind w:left="6480" w:hanging="180"/>
      </w:pPr>
    </w:lvl>
  </w:abstractNum>
  <w:abstractNum w:abstractNumId="29" w15:restartNumberingAfterBreak="0">
    <w:nsid w:val="5E1927D9"/>
    <w:multiLevelType w:val="multilevel"/>
    <w:tmpl w:val="BD922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C22BBD"/>
    <w:multiLevelType w:val="multilevel"/>
    <w:tmpl w:val="74600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9E6931"/>
    <w:multiLevelType w:val="multilevel"/>
    <w:tmpl w:val="81340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D87D25"/>
    <w:multiLevelType w:val="multilevel"/>
    <w:tmpl w:val="75CC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AC400F"/>
    <w:multiLevelType w:val="multilevel"/>
    <w:tmpl w:val="73F28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296207"/>
    <w:multiLevelType w:val="multilevel"/>
    <w:tmpl w:val="00C28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3615F0"/>
    <w:multiLevelType w:val="hybridMultilevel"/>
    <w:tmpl w:val="E34A0C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782E506D"/>
    <w:multiLevelType w:val="multilevel"/>
    <w:tmpl w:val="31DE7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9446862"/>
    <w:multiLevelType w:val="multilevel"/>
    <w:tmpl w:val="A2065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46423D"/>
    <w:multiLevelType w:val="multilevel"/>
    <w:tmpl w:val="A26A3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A759B7"/>
    <w:multiLevelType w:val="multilevel"/>
    <w:tmpl w:val="F9EED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7671644">
    <w:abstractNumId w:val="18"/>
  </w:num>
  <w:num w:numId="2" w16cid:durableId="2078093443">
    <w:abstractNumId w:val="27"/>
  </w:num>
  <w:num w:numId="3" w16cid:durableId="317459419">
    <w:abstractNumId w:val="28"/>
  </w:num>
  <w:num w:numId="4" w16cid:durableId="1221483016">
    <w:abstractNumId w:val="8"/>
  </w:num>
  <w:num w:numId="5" w16cid:durableId="434401403">
    <w:abstractNumId w:val="13"/>
  </w:num>
  <w:num w:numId="6" w16cid:durableId="233130231">
    <w:abstractNumId w:val="26"/>
  </w:num>
  <w:num w:numId="7" w16cid:durableId="577519103">
    <w:abstractNumId w:val="31"/>
  </w:num>
  <w:num w:numId="8" w16cid:durableId="138690607">
    <w:abstractNumId w:val="14"/>
  </w:num>
  <w:num w:numId="9" w16cid:durableId="1694114777">
    <w:abstractNumId w:val="38"/>
  </w:num>
  <w:num w:numId="10" w16cid:durableId="142819720">
    <w:abstractNumId w:val="23"/>
  </w:num>
  <w:num w:numId="11" w16cid:durableId="120389717">
    <w:abstractNumId w:val="19"/>
  </w:num>
  <w:num w:numId="12" w16cid:durableId="1336493520">
    <w:abstractNumId w:val="35"/>
  </w:num>
  <w:num w:numId="13" w16cid:durableId="519785169">
    <w:abstractNumId w:val="6"/>
  </w:num>
  <w:num w:numId="14" w16cid:durableId="704601161">
    <w:abstractNumId w:val="0"/>
  </w:num>
  <w:num w:numId="15" w16cid:durableId="1208253452">
    <w:abstractNumId w:val="16"/>
  </w:num>
  <w:num w:numId="16" w16cid:durableId="1899436236">
    <w:abstractNumId w:val="9"/>
  </w:num>
  <w:num w:numId="17" w16cid:durableId="1594195848">
    <w:abstractNumId w:val="15"/>
  </w:num>
  <w:num w:numId="18" w16cid:durableId="458572275">
    <w:abstractNumId w:val="25"/>
  </w:num>
  <w:num w:numId="19" w16cid:durableId="1006397963">
    <w:abstractNumId w:val="32"/>
  </w:num>
  <w:num w:numId="20" w16cid:durableId="862287544">
    <w:abstractNumId w:val="2"/>
  </w:num>
  <w:num w:numId="21" w16cid:durableId="1863858742">
    <w:abstractNumId w:val="39"/>
  </w:num>
  <w:num w:numId="22" w16cid:durableId="412510965">
    <w:abstractNumId w:val="34"/>
  </w:num>
  <w:num w:numId="23" w16cid:durableId="980886011">
    <w:abstractNumId w:val="1"/>
  </w:num>
  <w:num w:numId="24" w16cid:durableId="84111986">
    <w:abstractNumId w:val="20"/>
  </w:num>
  <w:num w:numId="25" w16cid:durableId="25722802">
    <w:abstractNumId w:val="33"/>
  </w:num>
  <w:num w:numId="26" w16cid:durableId="1049113946">
    <w:abstractNumId w:val="12"/>
  </w:num>
  <w:num w:numId="27" w16cid:durableId="2077051353">
    <w:abstractNumId w:val="4"/>
  </w:num>
  <w:num w:numId="28" w16cid:durableId="1285380341">
    <w:abstractNumId w:val="3"/>
  </w:num>
  <w:num w:numId="29" w16cid:durableId="1156070662">
    <w:abstractNumId w:val="37"/>
  </w:num>
  <w:num w:numId="30" w16cid:durableId="692533928">
    <w:abstractNumId w:val="21"/>
  </w:num>
  <w:num w:numId="31" w16cid:durableId="1759056131">
    <w:abstractNumId w:val="5"/>
  </w:num>
  <w:num w:numId="32" w16cid:durableId="50544769">
    <w:abstractNumId w:val="29"/>
  </w:num>
  <w:num w:numId="33" w16cid:durableId="21786994">
    <w:abstractNumId w:val="22"/>
  </w:num>
  <w:num w:numId="34" w16cid:durableId="1786537942">
    <w:abstractNumId w:val="36"/>
  </w:num>
  <w:num w:numId="35" w16cid:durableId="1386181528">
    <w:abstractNumId w:val="17"/>
  </w:num>
  <w:num w:numId="36" w16cid:durableId="435322178">
    <w:abstractNumId w:val="30"/>
  </w:num>
  <w:num w:numId="37" w16cid:durableId="842285944">
    <w:abstractNumId w:val="10"/>
  </w:num>
  <w:num w:numId="38" w16cid:durableId="1329361619">
    <w:abstractNumId w:val="7"/>
  </w:num>
  <w:num w:numId="39" w16cid:durableId="1628851492">
    <w:abstractNumId w:val="24"/>
  </w:num>
  <w:num w:numId="40" w16cid:durableId="3730441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AF35A91"/>
    <w:rsid w:val="000D0814"/>
    <w:rsid w:val="0043757C"/>
    <w:rsid w:val="0048610E"/>
    <w:rsid w:val="00494021"/>
    <w:rsid w:val="00544D3F"/>
    <w:rsid w:val="00580896"/>
    <w:rsid w:val="0070018A"/>
    <w:rsid w:val="008572B1"/>
    <w:rsid w:val="008B61C0"/>
    <w:rsid w:val="009422BC"/>
    <w:rsid w:val="00A00D01"/>
    <w:rsid w:val="00B019BF"/>
    <w:rsid w:val="00B6300E"/>
    <w:rsid w:val="00ED1F08"/>
    <w:rsid w:val="00EE2458"/>
    <w:rsid w:val="02575793"/>
    <w:rsid w:val="028633D9"/>
    <w:rsid w:val="029C20C5"/>
    <w:rsid w:val="04277651"/>
    <w:rsid w:val="043DE039"/>
    <w:rsid w:val="05D9682B"/>
    <w:rsid w:val="07051F2F"/>
    <w:rsid w:val="07FBBF41"/>
    <w:rsid w:val="08C60DE1"/>
    <w:rsid w:val="092A6B09"/>
    <w:rsid w:val="09F59747"/>
    <w:rsid w:val="0DA455B0"/>
    <w:rsid w:val="0E2C1324"/>
    <w:rsid w:val="0E2EBF36"/>
    <w:rsid w:val="0F4B630D"/>
    <w:rsid w:val="11EA0448"/>
    <w:rsid w:val="12135B49"/>
    <w:rsid w:val="1238EFC7"/>
    <w:rsid w:val="12AC8425"/>
    <w:rsid w:val="12ED7E8C"/>
    <w:rsid w:val="12F10001"/>
    <w:rsid w:val="135432CB"/>
    <w:rsid w:val="14671AA2"/>
    <w:rsid w:val="149C9962"/>
    <w:rsid w:val="15FAF50F"/>
    <w:rsid w:val="1700281D"/>
    <w:rsid w:val="191DEF71"/>
    <w:rsid w:val="1B411178"/>
    <w:rsid w:val="1F65CE87"/>
    <w:rsid w:val="2010F8E6"/>
    <w:rsid w:val="203C6BF3"/>
    <w:rsid w:val="208A5413"/>
    <w:rsid w:val="22243D5A"/>
    <w:rsid w:val="234A9D38"/>
    <w:rsid w:val="25E3B94D"/>
    <w:rsid w:val="27D19F43"/>
    <w:rsid w:val="27D3C88E"/>
    <w:rsid w:val="2B035140"/>
    <w:rsid w:val="2B4D33E7"/>
    <w:rsid w:val="2DFBE109"/>
    <w:rsid w:val="2E79B607"/>
    <w:rsid w:val="2F52DC46"/>
    <w:rsid w:val="2F590FEA"/>
    <w:rsid w:val="2FB8056D"/>
    <w:rsid w:val="30758091"/>
    <w:rsid w:val="314B159C"/>
    <w:rsid w:val="322039A1"/>
    <w:rsid w:val="326DDA1D"/>
    <w:rsid w:val="34A48EBE"/>
    <w:rsid w:val="3599E281"/>
    <w:rsid w:val="38D067BE"/>
    <w:rsid w:val="3A08AE05"/>
    <w:rsid w:val="3C71BF4E"/>
    <w:rsid w:val="3E42C5A2"/>
    <w:rsid w:val="3E900F54"/>
    <w:rsid w:val="3F0C6768"/>
    <w:rsid w:val="3F27D705"/>
    <w:rsid w:val="4098CC20"/>
    <w:rsid w:val="416F43CE"/>
    <w:rsid w:val="44C83845"/>
    <w:rsid w:val="44CF0029"/>
    <w:rsid w:val="47F6ACC6"/>
    <w:rsid w:val="4D8331E9"/>
    <w:rsid w:val="4E9394FA"/>
    <w:rsid w:val="4F49F7F6"/>
    <w:rsid w:val="56A8F774"/>
    <w:rsid w:val="5AF35A91"/>
    <w:rsid w:val="5D714153"/>
    <w:rsid w:val="5EDF88DF"/>
    <w:rsid w:val="5F1B5BD2"/>
    <w:rsid w:val="60275F20"/>
    <w:rsid w:val="611430BD"/>
    <w:rsid w:val="61775A0C"/>
    <w:rsid w:val="620BC7E3"/>
    <w:rsid w:val="621958D8"/>
    <w:rsid w:val="63750A61"/>
    <w:rsid w:val="63D5EB22"/>
    <w:rsid w:val="663EA7A8"/>
    <w:rsid w:val="664A3B66"/>
    <w:rsid w:val="66BA4B53"/>
    <w:rsid w:val="671D176A"/>
    <w:rsid w:val="676EE902"/>
    <w:rsid w:val="68C3BFFA"/>
    <w:rsid w:val="68F9EA85"/>
    <w:rsid w:val="693AD425"/>
    <w:rsid w:val="69C409D1"/>
    <w:rsid w:val="6A91E915"/>
    <w:rsid w:val="6B2A584D"/>
    <w:rsid w:val="6B479BF9"/>
    <w:rsid w:val="6CA9E215"/>
    <w:rsid w:val="6FFDA25A"/>
    <w:rsid w:val="712ADA5B"/>
    <w:rsid w:val="718A6106"/>
    <w:rsid w:val="71D5C45C"/>
    <w:rsid w:val="73707F31"/>
    <w:rsid w:val="73E7A56B"/>
    <w:rsid w:val="779A79F4"/>
    <w:rsid w:val="78C28160"/>
    <w:rsid w:val="7AD1E659"/>
    <w:rsid w:val="7AEFFDB3"/>
    <w:rsid w:val="7C47440E"/>
    <w:rsid w:val="7D43766F"/>
    <w:rsid w:val="7D7981F1"/>
    <w:rsid w:val="7F201B3E"/>
    <w:rsid w:val="7F47E9FF"/>
    <w:rsid w:val="7F4F4624"/>
    <w:rsid w:val="7FF557B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AD4A"/>
  <w15:chartTrackingRefBased/>
  <w15:docId w15:val="{8BCD7061-80E7-4CFA-913B-694096BA7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72B1"/>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Ttulo3">
    <w:name w:val="heading 3"/>
    <w:basedOn w:val="Normal"/>
    <w:next w:val="Normal"/>
    <w:link w:val="Ttulo3Car"/>
    <w:uiPriority w:val="9"/>
    <w:semiHidden/>
    <w:unhideWhenUsed/>
    <w:qFormat/>
    <w:rsid w:val="008572B1"/>
    <w:pPr>
      <w:keepNext/>
      <w:keepLines/>
      <w:spacing w:before="40" w:after="0"/>
      <w:outlineLvl w:val="2"/>
    </w:pPr>
    <w:rPr>
      <w:rFonts w:asciiTheme="majorHAnsi" w:eastAsiaTheme="majorEastAsia" w:hAnsiTheme="majorHAnsi" w:cstheme="majorBidi"/>
      <w:color w:val="0A2F40" w:themeColor="accent1" w:themeShade="7F"/>
    </w:rPr>
  </w:style>
  <w:style w:type="paragraph" w:styleId="Ttulo4">
    <w:name w:val="heading 4"/>
    <w:basedOn w:val="Normal"/>
    <w:next w:val="Normal"/>
    <w:link w:val="Ttulo4Car"/>
    <w:uiPriority w:val="9"/>
    <w:semiHidden/>
    <w:unhideWhenUsed/>
    <w:qFormat/>
    <w:rsid w:val="008572B1"/>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Theme="majorHAnsi" w:eastAsiaTheme="majorEastAsia" w:hAnsiTheme="majorHAnsi" w:cstheme="majorBidi"/>
      <w:color w:val="0F4761" w:themeColor="accent1" w:themeShade="BF"/>
      <w:sz w:val="40"/>
      <w:szCs w:val="40"/>
    </w:rPr>
  </w:style>
  <w:style w:type="paragraph" w:styleId="Prrafodelista">
    <w:name w:val="List Paragraph"/>
    <w:basedOn w:val="Normal"/>
    <w:uiPriority w:val="34"/>
    <w:qFormat/>
    <w:pPr>
      <w:ind w:left="720"/>
      <w:contextualSpacing/>
    </w:pPr>
  </w:style>
  <w:style w:type="paragraph" w:styleId="Encabezado">
    <w:name w:val="header"/>
    <w:basedOn w:val="Normal"/>
    <w:uiPriority w:val="99"/>
    <w:unhideWhenUsed/>
    <w:rsid w:val="6B2A584D"/>
    <w:pPr>
      <w:tabs>
        <w:tab w:val="center" w:pos="4680"/>
        <w:tab w:val="right" w:pos="9360"/>
      </w:tabs>
      <w:spacing w:after="0" w:line="240" w:lineRule="auto"/>
    </w:pPr>
  </w:style>
  <w:style w:type="paragraph" w:styleId="Piedepgina">
    <w:name w:val="footer"/>
    <w:basedOn w:val="Normal"/>
    <w:uiPriority w:val="99"/>
    <w:unhideWhenUsed/>
    <w:rsid w:val="6B2A584D"/>
    <w:pPr>
      <w:tabs>
        <w:tab w:val="center" w:pos="4680"/>
        <w:tab w:val="right" w:pos="9360"/>
      </w:tabs>
      <w:spacing w:after="0" w:line="240" w:lineRule="auto"/>
    </w:p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2Car">
    <w:name w:val="Título 2 Car"/>
    <w:basedOn w:val="Fuentedeprrafopredeter"/>
    <w:link w:val="Ttulo2"/>
    <w:uiPriority w:val="9"/>
    <w:semiHidden/>
    <w:rsid w:val="008572B1"/>
    <w:rPr>
      <w:rFonts w:asciiTheme="majorHAnsi" w:eastAsiaTheme="majorEastAsia" w:hAnsiTheme="majorHAnsi" w:cstheme="majorBidi"/>
      <w:color w:val="0F4761" w:themeColor="accent1" w:themeShade="BF"/>
      <w:sz w:val="26"/>
      <w:szCs w:val="26"/>
    </w:rPr>
  </w:style>
  <w:style w:type="character" w:customStyle="1" w:styleId="Ttulo3Car">
    <w:name w:val="Título 3 Car"/>
    <w:basedOn w:val="Fuentedeprrafopredeter"/>
    <w:link w:val="Ttulo3"/>
    <w:uiPriority w:val="9"/>
    <w:semiHidden/>
    <w:rsid w:val="008572B1"/>
    <w:rPr>
      <w:rFonts w:asciiTheme="majorHAnsi" w:eastAsiaTheme="majorEastAsia" w:hAnsiTheme="majorHAnsi" w:cstheme="majorBidi"/>
      <w:color w:val="0A2F40" w:themeColor="accent1" w:themeShade="7F"/>
    </w:rPr>
  </w:style>
  <w:style w:type="character" w:customStyle="1" w:styleId="s1">
    <w:name w:val="s1"/>
    <w:basedOn w:val="Fuentedeprrafopredeter"/>
    <w:rsid w:val="008572B1"/>
  </w:style>
  <w:style w:type="paragraph" w:customStyle="1" w:styleId="p2">
    <w:name w:val="p2"/>
    <w:basedOn w:val="Normal"/>
    <w:rsid w:val="008572B1"/>
    <w:pPr>
      <w:spacing w:before="100" w:beforeAutospacing="1" w:after="100" w:afterAutospacing="1" w:line="240" w:lineRule="auto"/>
    </w:pPr>
    <w:rPr>
      <w:rFonts w:ascii="Times New Roman" w:eastAsia="Times New Roman" w:hAnsi="Times New Roman" w:cs="Times New Roman"/>
      <w:lang w:val="es-CO" w:eastAsia="es-MX"/>
    </w:rPr>
  </w:style>
  <w:style w:type="paragraph" w:customStyle="1" w:styleId="p3">
    <w:name w:val="p3"/>
    <w:basedOn w:val="Normal"/>
    <w:rsid w:val="008572B1"/>
    <w:pPr>
      <w:spacing w:before="100" w:beforeAutospacing="1" w:after="100" w:afterAutospacing="1" w:line="240" w:lineRule="auto"/>
    </w:pPr>
    <w:rPr>
      <w:rFonts w:ascii="Times New Roman" w:eastAsia="Times New Roman" w:hAnsi="Times New Roman" w:cs="Times New Roman"/>
      <w:lang w:val="es-CO" w:eastAsia="es-MX"/>
    </w:rPr>
  </w:style>
  <w:style w:type="paragraph" w:customStyle="1" w:styleId="p4">
    <w:name w:val="p4"/>
    <w:basedOn w:val="Normal"/>
    <w:rsid w:val="008572B1"/>
    <w:pPr>
      <w:spacing w:before="100" w:beforeAutospacing="1" w:after="100" w:afterAutospacing="1" w:line="240" w:lineRule="auto"/>
    </w:pPr>
    <w:rPr>
      <w:rFonts w:ascii="Times New Roman" w:eastAsia="Times New Roman" w:hAnsi="Times New Roman" w:cs="Times New Roman"/>
      <w:lang w:val="es-CO" w:eastAsia="es-MX"/>
    </w:rPr>
  </w:style>
  <w:style w:type="paragraph" w:customStyle="1" w:styleId="p5">
    <w:name w:val="p5"/>
    <w:basedOn w:val="Normal"/>
    <w:rsid w:val="008572B1"/>
    <w:pPr>
      <w:spacing w:before="100" w:beforeAutospacing="1" w:after="100" w:afterAutospacing="1" w:line="240" w:lineRule="auto"/>
    </w:pPr>
    <w:rPr>
      <w:rFonts w:ascii="Times New Roman" w:eastAsia="Times New Roman" w:hAnsi="Times New Roman" w:cs="Times New Roman"/>
      <w:lang w:val="es-CO" w:eastAsia="es-MX"/>
    </w:rPr>
  </w:style>
  <w:style w:type="paragraph" w:customStyle="1" w:styleId="p6">
    <w:name w:val="p6"/>
    <w:basedOn w:val="Normal"/>
    <w:rsid w:val="008572B1"/>
    <w:pPr>
      <w:spacing w:before="100" w:beforeAutospacing="1" w:after="100" w:afterAutospacing="1" w:line="240" w:lineRule="auto"/>
    </w:pPr>
    <w:rPr>
      <w:rFonts w:ascii="Times New Roman" w:eastAsia="Times New Roman" w:hAnsi="Times New Roman" w:cs="Times New Roman"/>
      <w:lang w:val="es-CO" w:eastAsia="es-MX"/>
    </w:rPr>
  </w:style>
  <w:style w:type="paragraph" w:customStyle="1" w:styleId="p1">
    <w:name w:val="p1"/>
    <w:basedOn w:val="Normal"/>
    <w:rsid w:val="008572B1"/>
    <w:pPr>
      <w:spacing w:before="100" w:beforeAutospacing="1" w:after="100" w:afterAutospacing="1" w:line="240" w:lineRule="auto"/>
    </w:pPr>
    <w:rPr>
      <w:rFonts w:ascii="Times New Roman" w:eastAsia="Times New Roman" w:hAnsi="Times New Roman" w:cs="Times New Roman"/>
      <w:lang w:val="es-CO" w:eastAsia="es-MX"/>
    </w:rPr>
  </w:style>
  <w:style w:type="character" w:customStyle="1" w:styleId="Ttulo4Car">
    <w:name w:val="Título 4 Car"/>
    <w:basedOn w:val="Fuentedeprrafopredeter"/>
    <w:link w:val="Ttulo4"/>
    <w:uiPriority w:val="9"/>
    <w:semiHidden/>
    <w:rsid w:val="008572B1"/>
    <w:rPr>
      <w:rFonts w:asciiTheme="majorHAnsi" w:eastAsiaTheme="majorEastAsia" w:hAnsiTheme="majorHAnsi" w:cstheme="majorBidi"/>
      <w:i/>
      <w:iCs/>
      <w:color w:val="0F476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258E2C-9BC2-4F5D-91D4-E99BB9C0F7E6}">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2.xml><?xml version="1.0" encoding="utf-8"?>
<ds:datastoreItem xmlns:ds="http://schemas.openxmlformats.org/officeDocument/2006/customXml" ds:itemID="{3C672C29-3E83-489D-B14B-22C2CFA31FED}"/>
</file>

<file path=customXml/itemProps3.xml><?xml version="1.0" encoding="utf-8"?>
<ds:datastoreItem xmlns:ds="http://schemas.openxmlformats.org/officeDocument/2006/customXml" ds:itemID="{716E1841-3CA8-4EEC-BCDA-BC7D4A39DC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9</Pages>
  <Words>2648</Words>
  <Characters>16610</Characters>
  <Application>Microsoft Office Word</Application>
  <DocSecurity>0</DocSecurity>
  <Lines>377</Lines>
  <Paragraphs>234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CAMILO SANCHEZ SALAZAR</dc:creator>
  <cp:keywords/>
  <dc:description/>
  <cp:lastModifiedBy>JUAN CAMILO SANCHEZ SALAZAR</cp:lastModifiedBy>
  <cp:revision>6</cp:revision>
  <dcterms:created xsi:type="dcterms:W3CDTF">2026-04-23T14:37:00Z</dcterms:created>
  <dcterms:modified xsi:type="dcterms:W3CDTF">2026-06-21T02:28:00Z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